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EB5F1" w14:textId="77777777" w:rsidR="00397CFC" w:rsidRDefault="00000000">
      <w:pPr>
        <w:framePr w:w="11904" w:h="3984" w:vSpace="1013" w:wrap="notBeside" w:vAnchor="text" w:hAnchor="text" w:x="-1417" w:y="1"/>
        <w:rPr>
          <w:sz w:val="2"/>
        </w:rPr>
      </w:pPr>
      <w:r>
        <w:rPr>
          <w:noProof/>
        </w:rPr>
        <w:drawing>
          <wp:inline distT="0" distB="0" distL="0" distR="0" wp14:anchorId="6582424C" wp14:editId="51364263">
            <wp:extent cx="7559040" cy="252984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attēls"/>
                    <pic:cNvPicPr/>
                  </pic:nvPicPr>
                  <pic:blipFill>
                    <a:blip r:embed="rId7"/>
                    <a:stretch/>
                  </pic:blipFill>
                  <pic:spPr>
                    <a:xfrm>
                      <a:off x="0" y="0"/>
                      <a:ext cx="7559040" cy="2529840"/>
                    </a:xfrm>
                    <a:prstGeom prst="rect">
                      <a:avLst/>
                    </a:prstGeom>
                  </pic:spPr>
                </pic:pic>
              </a:graphicData>
            </a:graphic>
          </wp:inline>
        </w:drawing>
      </w:r>
    </w:p>
    <w:p w14:paraId="043694F4" w14:textId="77777777" w:rsidR="00397CFC" w:rsidRDefault="00000000">
      <w:pPr>
        <w:spacing w:line="1" w:lineRule="exact"/>
      </w:pPr>
      <w:r>
        <w:rPr>
          <w:noProof/>
        </w:rPr>
        <mc:AlternateContent>
          <mc:Choice Requires="wps">
            <w:drawing>
              <wp:anchor distT="0" distB="0" distL="0" distR="4959985" simplePos="0" relativeHeight="125829378" behindDoc="0" locked="0" layoutInCell="1" allowOverlap="1" wp14:anchorId="299DB592" wp14:editId="232D39D2">
                <wp:simplePos x="0" y="0"/>
                <wp:positionH relativeFrom="margin">
                  <wp:posOffset>2021840</wp:posOffset>
                </wp:positionH>
                <wp:positionV relativeFrom="paragraph">
                  <wp:posOffset>2726055</wp:posOffset>
                </wp:positionV>
                <wp:extent cx="1697990" cy="1066800"/>
                <wp:effectExtent l="0" t="0" r="0" b="0"/>
                <wp:wrapTopAndBottom/>
                <wp:docPr id="2" name="forma"/>
                <wp:cNvGraphicFramePr/>
                <a:graphic xmlns:a="http://schemas.openxmlformats.org/drawingml/2006/main">
                  <a:graphicData uri="http://schemas.microsoft.com/office/word/2010/wordprocessingShape">
                    <wps:wsp>
                      <wps:cNvSpPr txBox="1"/>
                      <wps:spPr>
                        <a:xfrm>
                          <a:off x="0" y="0"/>
                          <a:ext cx="1697990" cy="1066800"/>
                        </a:xfrm>
                        <a:prstGeom prst="rect">
                          <a:avLst/>
                        </a:prstGeom>
                        <a:noFill/>
                      </wps:spPr>
                      <wps:txbx>
                        <w:txbxContent>
                          <w:p w14:paraId="62711EBC" w14:textId="0134D53F" w:rsidR="00397CFC" w:rsidRDefault="00000000">
                            <w:pPr>
                              <w:pStyle w:val="Picturecaption10"/>
                              <w:rPr>
                                <w:sz w:val="36"/>
                              </w:rPr>
                            </w:pPr>
                            <w:r>
                              <w:rPr>
                                <w:rStyle w:val="Picturecaption1"/>
                                <w:rFonts w:ascii="Calibri" w:eastAsia="Calibri" w:hAnsi="Calibri" w:cs="Calibri"/>
                                <w:b/>
                                <w:color w:val="004494"/>
                                <w:sz w:val="36"/>
                                <w:u w:val="single"/>
                              </w:rPr>
                              <w:t>Informatīv</w:t>
                            </w:r>
                            <w:r w:rsidR="00C419FA">
                              <w:rPr>
                                <w:rStyle w:val="Picturecaption1"/>
                                <w:rFonts w:ascii="Calibri" w:eastAsia="Calibri" w:hAnsi="Calibri" w:cs="Calibri"/>
                                <w:b/>
                                <w:color w:val="004494"/>
                                <w:sz w:val="36"/>
                                <w:u w:val="single"/>
                              </w:rPr>
                              <w:t xml:space="preserve">ā piezīme </w:t>
                            </w:r>
                          </w:p>
                        </w:txbxContent>
                      </wps:txbx>
                      <wps:bodyPr lIns="0" tIns="0" rIns="0" bIns="0">
                        <a:noAutofit/>
                      </wps:bodyPr>
                    </wps:wsp>
                  </a:graphicData>
                </a:graphic>
                <wp14:sizeRelV relativeFrom="margin">
                  <wp14:pctHeight>0</wp14:pctHeight>
                </wp14:sizeRelV>
              </wp:anchor>
            </w:drawing>
          </mc:Choice>
          <mc:Fallback>
            <w:pict>
              <v:shapetype w14:anchorId="299DB592" id="_x0000_t202" coordsize="21600,21600" o:spt="202" path="m,l,21600r21600,l21600,xe">
                <v:stroke joinstyle="miter"/>
                <v:path gradientshapeok="t" o:connecttype="rect"/>
              </v:shapetype>
              <v:shape id="forma" o:spid="_x0000_s1026" type="#_x0000_t202" style="position:absolute;margin-left:159.2pt;margin-top:214.65pt;width:133.7pt;height:84pt;z-index:125829378;visibility:visible;mso-wrap-style:square;mso-height-percent:0;mso-wrap-distance-left:0;mso-wrap-distance-top:0;mso-wrap-distance-right:390.5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" filled="f" stroked="f">
                <v:textbox inset="0,0,0,0">
                  <w:txbxContent>
                    <w:p w14:paraId="62711EBC" w14:textId="0134D53F" w:rsidR="00397CFC" w:rsidRDefault="00000000">
                      <w:pPr>
                        <w:pStyle w:val="Picturecaption10"/>
                        <w:rPr>
                          <w:sz w:val="36"/>
                        </w:rPr>
                      </w:pPr>
                      <w:r>
                        <w:rPr>
                          <w:rStyle w:val="Picturecaption1"/>
                          <w:rFonts w:ascii="Calibri" w:eastAsia="Calibri" w:hAnsi="Calibri" w:cs="Calibri"/>
                          <w:b/>
                          <w:color w:val="004494"/>
                          <w:sz w:val="36"/>
                          <w:u w:val="single"/>
                        </w:rPr>
                        <w:t>Informatīv</w:t>
                      </w:r>
                      <w:r w:rsidR="00C419FA">
                        <w:rPr>
                          <w:rStyle w:val="Picturecaption1"/>
                          <w:rFonts w:ascii="Calibri" w:eastAsia="Calibri" w:hAnsi="Calibri" w:cs="Calibri"/>
                          <w:b/>
                          <w:color w:val="004494"/>
                          <w:sz w:val="36"/>
                          <w:u w:val="single"/>
                        </w:rPr>
                        <w:t xml:space="preserve">ā piezīme </w:t>
                      </w:r>
                    </w:p>
                  </w:txbxContent>
                </v:textbox>
                <w10:wrap type="topAndBottom" anchorx="margin"/>
              </v:shape>
            </w:pict>
          </mc:Fallback>
        </mc:AlternateContent>
      </w:r>
      <w:r>
        <w:rPr>
          <w:noProof/>
        </w:rPr>
        <w:drawing>
          <wp:anchor distT="0" distB="0" distL="0" distR="5423535" simplePos="0" relativeHeight="125829380" behindDoc="0" locked="0" layoutInCell="1" allowOverlap="1" wp14:anchorId="40DCE673" wp14:editId="7581AC74">
            <wp:simplePos x="0" y="0"/>
            <wp:positionH relativeFrom="column">
              <wp:posOffset>4528185</wp:posOffset>
            </wp:positionH>
            <wp:positionV relativeFrom="paragraph">
              <wp:posOffset>551815</wp:posOffset>
            </wp:positionV>
            <wp:extent cx="1234440" cy="125095"/>
            <wp:effectExtent l="0" t="0" r="0" b="0"/>
            <wp:wrapTopAndBottom/>
            <wp:docPr id="4" name="forma"/>
            <wp:cNvGraphicFramePr/>
            <a:graphic xmlns:a="http://schemas.openxmlformats.org/drawingml/2006/main">
              <a:graphicData uri="http://schemas.microsoft.com/office/word/2010/wordprocessingShape">
                <wps:wsp>
                  <wps:cNvSpPr txBox="1"/>
                  <wps:spPr>
                    <a:xfrm>
                      <a:off x="0" y="0"/>
                      <a:ext cx="1234440" cy="125095"/>
                    </a:xfrm>
                    <a:prstGeom prst="rect">
                      <a:avLst/>
                    </a:prstGeom>
                    <a:noFill/>
                  </wps:spPr>
                  <wps:txbx>
                    <w:txbxContent>
                      <w:p w14:paraId="3FEACB5A" w14:textId="77777777" w:rsidR="00397CFC" w:rsidRDefault="00000000">
                        <w:pPr>
                          <w:pStyle w:val="Picturecaption10"/>
                          <w:jc w:val="right"/>
                        </w:pPr>
                        <w:r>
                          <w:rPr>
                            <w:rStyle w:val="Picturecaption1"/>
                          </w:rPr>
                          <w:t>Eiropas Datu aizsardzības kolēģija</w:t>
                        </w:r>
                      </w:p>
                    </w:txbxContent>
                  </wps:txbx>
                  <wps:bodyPr lIns="0" tIns="0" rIns="0" bIns="0"/>
                </wps:wsp>
              </a:graphicData>
            </a:graphic>
          </wp:anchor>
        </w:drawing>
      </w:r>
    </w:p>
    <w:p w14:paraId="3CFD032C" w14:textId="549FD821" w:rsidR="00397CFC" w:rsidRDefault="00000000">
      <w:pPr>
        <w:pStyle w:val="Bodytext20"/>
        <w:jc w:val="both"/>
        <w:sectPr w:rsidR="00397CFC">
          <w:footerReference w:type="default" r:id="rId8"/>
          <w:pgSz w:w="11900" w:h="16840"/>
          <w:pgMar w:top="3" w:right="1422" w:bottom="1217" w:left="1412" w:header="0" w:footer="3" w:gutter="0"/>
          <w:pgNumType w:start="1"/>
          <w:cols w:space="720"/>
          <w:noEndnote/>
          <w:docGrid w:linePitch="360"/>
        </w:sectPr>
      </w:pPr>
      <w:r>
        <w:rPr>
          <w:rStyle w:val="Bodytext2"/>
          <w:b/>
        </w:rPr>
        <w:t xml:space="preserve">par tiesiskās aizsardzības mehānismu ES/EEZ personām </w:t>
      </w:r>
      <w:r w:rsidR="00417235">
        <w:rPr>
          <w:rStyle w:val="Bodytext2"/>
          <w:b/>
        </w:rPr>
        <w:t>saistībā ar</w:t>
      </w:r>
      <w:r>
        <w:rPr>
          <w:rStyle w:val="Bodytext2"/>
          <w:b/>
        </w:rPr>
        <w:t xml:space="preserve"> iespējamiem ASV tiesību aktu pārkāpumiem </w:t>
      </w:r>
      <w:r w:rsidR="00417235">
        <w:rPr>
          <w:rStyle w:val="Bodytext2"/>
          <w:b/>
        </w:rPr>
        <w:t>par</w:t>
      </w:r>
      <w:r>
        <w:rPr>
          <w:rStyle w:val="Bodytext2"/>
          <w:b/>
        </w:rPr>
        <w:t xml:space="preserve"> viņu datiem, ko savākušas par valsts drošību atbildīgās ASV iestādes</w:t>
      </w:r>
    </w:p>
    <w:p w14:paraId="516F811B" w14:textId="77777777" w:rsidR="00397CFC" w:rsidRDefault="00000000">
      <w:pPr>
        <w:pStyle w:val="Heading110"/>
        <w:keepNext/>
        <w:keepLines/>
        <w:jc w:val="both"/>
      </w:pPr>
      <w:bookmarkStart w:id="0" w:name="bookmark34"/>
      <w:r>
        <w:rPr>
          <w:rStyle w:val="Heading11"/>
          <w:b/>
        </w:rPr>
        <w:lastRenderedPageBreak/>
        <w:t>Konteksts saistībā ar sūdzībām par ASV izlūkdienestu piekļuvi valdībai</w:t>
      </w:r>
      <w:bookmarkEnd w:id="0"/>
    </w:p>
    <w:p w14:paraId="3DB8C5A5" w14:textId="436E5128" w:rsidR="00397CFC" w:rsidRDefault="00000000">
      <w:pPr>
        <w:pStyle w:val="Bodytext10"/>
        <w:spacing w:after="180"/>
        <w:jc w:val="both"/>
      </w:pPr>
      <w:r>
        <w:rPr>
          <w:rStyle w:val="Bodytext1"/>
        </w:rPr>
        <w:t xml:space="preserve">Eiropas Komisija 2023. gada 10. jūlijā pieņēma Īstenošanas lēmumu C(2023) 4745 par personas datu pienācīgu aizsardzības līmeni saskaņā ar </w:t>
      </w:r>
      <w:r>
        <w:rPr>
          <w:rStyle w:val="Bodytext1"/>
          <w:b/>
        </w:rPr>
        <w:t>ES un ASV datu privātuma regulējumu (“DPF</w:t>
      </w:r>
      <w:r w:rsidR="00417235">
        <w:rPr>
          <w:rStyle w:val="Bodytext1"/>
          <w:b/>
        </w:rPr>
        <w:t xml:space="preserve"> </w:t>
      </w:r>
      <w:r>
        <w:rPr>
          <w:rStyle w:val="Bodytext1"/>
        </w:rPr>
        <w:t>lēmums par</w:t>
      </w:r>
      <w:hyperlink r:id="rId9" w:history="1">
        <w:r>
          <w:rPr>
            <w:rStyle w:val="Bodytext1"/>
            <w:color w:val="0563C1"/>
            <w:u w:val="single"/>
          </w:rPr>
          <w:t xml:space="preserve"> aizsardzības līmeņa pietiekamību”).</w:t>
        </w:r>
      </w:hyperlink>
      <w:hyperlink w:anchor="bookmark0" w:tooltip="Current Document">
        <w:r w:rsidRPr="00417235">
          <w:rPr>
            <w:rStyle w:val="Bodytext1"/>
            <w:vertAlign w:val="superscript"/>
          </w:rPr>
          <w:footnoteReference w:id="1"/>
        </w:r>
      </w:hyperlink>
    </w:p>
    <w:p w14:paraId="748326CD" w14:textId="22718F8B" w:rsidR="00397CFC" w:rsidRDefault="00000000">
      <w:pPr>
        <w:pStyle w:val="Bodytext10"/>
        <w:spacing w:after="180"/>
        <w:jc w:val="both"/>
      </w:pPr>
      <w:r>
        <w:rPr>
          <w:rStyle w:val="Bodytext1"/>
        </w:rPr>
        <w:t xml:space="preserve">Svarīgs ASV tiesiskā regulējuma elements, kas ir lēmuma par aizsardzības līmeņa pietiekamību pamatā, attiecas uz </w:t>
      </w:r>
      <w:proofErr w:type="spellStart"/>
      <w:r>
        <w:rPr>
          <w:rStyle w:val="Bodytext1"/>
          <w:b/>
        </w:rPr>
        <w:t>Izpildrīkojumu</w:t>
      </w:r>
      <w:proofErr w:type="spellEnd"/>
      <w:r>
        <w:rPr>
          <w:rStyle w:val="Bodytext1"/>
          <w:b/>
        </w:rPr>
        <w:t xml:space="preserve"> Nr.14086</w:t>
      </w:r>
      <w:r w:rsidR="00417235">
        <w:rPr>
          <w:rStyle w:val="Bodytext1"/>
          <w:b/>
        </w:rPr>
        <w:t xml:space="preserve"> </w:t>
      </w:r>
      <w:r>
        <w:rPr>
          <w:rStyle w:val="Bodytext1"/>
          <w:b/>
        </w:rPr>
        <w:t>“Drošības pasākumu uzlabošana Amerikas Savienoto Valstu sakaru izlūkošanas darbībām”</w:t>
      </w:r>
      <w:hyperlink w:anchor="bookmark1" w:tooltip="Current Document">
        <w:r w:rsidRPr="00417235">
          <w:rPr>
            <w:rStyle w:val="Bodytext1"/>
            <w:vertAlign w:val="superscript"/>
          </w:rPr>
          <w:footnoteReference w:id="2"/>
        </w:r>
        <w:r w:rsidRPr="00417235">
          <w:rPr>
            <w:rStyle w:val="Bodytext1"/>
            <w:vertAlign w:val="superscript"/>
          </w:rPr>
          <w:t xml:space="preserve"> </w:t>
        </w:r>
      </w:hyperlink>
      <w:r>
        <w:rPr>
          <w:rStyle w:val="Bodytext1"/>
          <w:b/>
        </w:rPr>
        <w:t xml:space="preserve">(“E.O. 14086”), </w:t>
      </w:r>
      <w:r>
        <w:rPr>
          <w:rStyle w:val="Bodytext1"/>
        </w:rPr>
        <w:t xml:space="preserve">kuru ASV prezidents </w:t>
      </w:r>
      <w:proofErr w:type="spellStart"/>
      <w:r>
        <w:rPr>
          <w:rStyle w:val="Bodytext1"/>
        </w:rPr>
        <w:t>Baidens</w:t>
      </w:r>
      <w:proofErr w:type="spellEnd"/>
      <w:r>
        <w:rPr>
          <w:rStyle w:val="Bodytext1"/>
        </w:rPr>
        <w:t xml:space="preserve"> parakstīja 2022. gada 7. oktobrī un kuram ir pievienoti ASV ģenerālprokurora pieņemtie noteikumi, kā arī attiecīgā politika un procedūras, ko pieņēmis ASV Nacionālās izlūkošanas direktora birojs un ASV izlūkošanas aģentūras.</w:t>
      </w:r>
    </w:p>
    <w:p w14:paraId="66747AD6" w14:textId="39679814" w:rsidR="00397CFC" w:rsidRDefault="00000000">
      <w:pPr>
        <w:pStyle w:val="Bodytext10"/>
        <w:jc w:val="both"/>
      </w:pPr>
      <w:r>
        <w:rPr>
          <w:rStyle w:val="Bodytext1"/>
        </w:rPr>
        <w:t xml:space="preserve">Ar E.O. 14086 tika izveidots </w:t>
      </w:r>
      <w:r>
        <w:rPr>
          <w:rStyle w:val="Bodytext1"/>
          <w:b/>
        </w:rPr>
        <w:t xml:space="preserve">jauns tiesiskās aizsardzības mehānisms valsts drošības jomā, </w:t>
      </w:r>
      <w:r>
        <w:rPr>
          <w:rStyle w:val="Bodytext1"/>
        </w:rPr>
        <w:t>lai izskatītu un atrisinātu ES un EEZ datu subjektu sūdzības par ASV sakaru izlūkošanas darbību</w:t>
      </w:r>
      <w:hyperlink w:anchor="bookmark2" w:tooltip="Current Document">
        <w:r w:rsidRPr="00417235">
          <w:rPr>
            <w:rStyle w:val="Bodytext1"/>
            <w:vertAlign w:val="superscript"/>
          </w:rPr>
          <w:footnoteReference w:id="3"/>
        </w:r>
        <w:r w:rsidRPr="00417235">
          <w:rPr>
            <w:rStyle w:val="Bodytext1"/>
            <w:vertAlign w:val="superscript"/>
          </w:rPr>
          <w:t xml:space="preserve"> </w:t>
        </w:r>
      </w:hyperlink>
      <w:r>
        <w:rPr>
          <w:rStyle w:val="Bodytext1"/>
        </w:rPr>
        <w:t>nelikumīgu piekļuvi datiem un to izmantošanu attiecībā uz viņu personas datiem, kas tika nosūtīti no ES un EEZ uz ASV.</w:t>
      </w:r>
      <w:hyperlink w:anchor="bookmark3" w:tooltip="Current Document">
        <w:r w:rsidRPr="00417235">
          <w:rPr>
            <w:rStyle w:val="Bodytext1"/>
            <w:vertAlign w:val="superscript"/>
          </w:rPr>
          <w:footnoteReference w:id="4"/>
        </w:r>
      </w:hyperlink>
      <w:r>
        <w:rPr>
          <w:rStyle w:val="Bodytext1"/>
        </w:rPr>
        <w:t xml:space="preserve"> Tādējādi saskaņā ar šo tiesiskās aizsardzības mehānismu tiks izskatītas tikai sūdzības, kas saistītas ar valsts drošību. </w:t>
      </w:r>
      <w:r>
        <w:rPr>
          <w:rStyle w:val="Bodytext1"/>
          <w:b/>
        </w:rPr>
        <w:t xml:space="preserve">Šo tiesiskās aizsardzības mehānismu piemēro neatkarīgi no nosūtīšanas rīka, ko izmanto sūdzības iesniedzēju personas datu nosūtīšanai uz ASV </w:t>
      </w:r>
      <w:r w:rsidRPr="00417235">
        <w:rPr>
          <w:rStyle w:val="Bodytext1"/>
          <w:bCs/>
        </w:rPr>
        <w:t>(t. i.</w:t>
      </w:r>
      <w:r>
        <w:rPr>
          <w:rStyle w:val="Bodytext1"/>
        </w:rPr>
        <w:t xml:space="preserve"> atbilstības lēmums, līguma </w:t>
      </w:r>
      <w:proofErr w:type="spellStart"/>
      <w:r>
        <w:rPr>
          <w:rStyle w:val="Bodytext1"/>
        </w:rPr>
        <w:t>standartklauzulas</w:t>
      </w:r>
      <w:proofErr w:type="spellEnd"/>
      <w:r w:rsidRPr="00417235">
        <w:rPr>
          <w:vertAlign w:val="superscript"/>
        </w:rPr>
        <w:fldChar w:fldCharType="begin"/>
      </w:r>
      <w:r w:rsidRPr="00417235">
        <w:rPr>
          <w:vertAlign w:val="superscript"/>
        </w:rPr>
        <w:instrText>HYPERLINK \l "bookmark4" \o "Current Document" \h</w:instrText>
      </w:r>
      <w:r w:rsidR="00122F4C" w:rsidRPr="00417235">
        <w:rPr>
          <w:vertAlign w:val="superscript"/>
        </w:rPr>
      </w:r>
      <w:r w:rsidRPr="00417235">
        <w:rPr>
          <w:vertAlign w:val="superscript"/>
        </w:rPr>
        <w:fldChar w:fldCharType="separate"/>
      </w:r>
      <w:r w:rsidRPr="00417235">
        <w:rPr>
          <w:rStyle w:val="Bodytext1"/>
          <w:vertAlign w:val="superscript"/>
        </w:rPr>
        <w:footnoteReference w:id="5"/>
      </w:r>
      <w:r w:rsidRPr="00417235">
        <w:rPr>
          <w:rStyle w:val="Bodytext1"/>
          <w:vertAlign w:val="superscript"/>
        </w:rPr>
        <w:fldChar w:fldCharType="end"/>
      </w:r>
      <w:r w:rsidRPr="00417235">
        <w:rPr>
          <w:rStyle w:val="Bodytext1"/>
          <w:vertAlign w:val="superscript"/>
        </w:rPr>
        <w:t xml:space="preserve"> </w:t>
      </w:r>
      <w:r>
        <w:rPr>
          <w:rStyle w:val="Bodytext1"/>
        </w:rPr>
        <w:t xml:space="preserve">vai </w:t>
      </w:r>
      <w:proofErr w:type="spellStart"/>
      <w:r>
        <w:rPr>
          <w:rStyle w:val="Bodytext1"/>
        </w:rPr>
        <w:t>ad</w:t>
      </w:r>
      <w:proofErr w:type="spellEnd"/>
      <w:r>
        <w:rPr>
          <w:rStyle w:val="Bodytext1"/>
        </w:rPr>
        <w:t xml:space="preserve"> </w:t>
      </w:r>
      <w:proofErr w:type="spellStart"/>
      <w:r>
        <w:rPr>
          <w:rStyle w:val="Bodytext1"/>
        </w:rPr>
        <w:t>hoc</w:t>
      </w:r>
      <w:proofErr w:type="spellEnd"/>
      <w:r>
        <w:rPr>
          <w:rStyle w:val="Bodytext1"/>
        </w:rPr>
        <w:t xml:space="preserve"> klauzulas, saistoši uzņēmuma noteikumi</w:t>
      </w:r>
      <w:hyperlink w:anchor="bookmark5" w:tooltip="Current Document">
        <w:r w:rsidRPr="00417235">
          <w:rPr>
            <w:rStyle w:val="Bodytext1"/>
            <w:vertAlign w:val="superscript"/>
          </w:rPr>
          <w:footnoteReference w:id="6"/>
        </w:r>
      </w:hyperlink>
      <w:r>
        <w:rPr>
          <w:rStyle w:val="Bodytext1"/>
        </w:rPr>
        <w:t>, rīcības kodeksi</w:t>
      </w:r>
      <w:hyperlink w:anchor="bookmark6" w:tooltip="Current Document">
        <w:r w:rsidRPr="00417235">
          <w:rPr>
            <w:rStyle w:val="Bodytext1"/>
            <w:vertAlign w:val="superscript"/>
          </w:rPr>
          <w:footnoteReference w:id="7"/>
        </w:r>
      </w:hyperlink>
      <w:r>
        <w:rPr>
          <w:rStyle w:val="Bodytext1"/>
        </w:rPr>
        <w:t>, sertifikācijas mehānismi</w:t>
      </w:r>
      <w:hyperlink w:anchor="bookmark7" w:tooltip="Current Document">
        <w:r w:rsidRPr="00417235">
          <w:rPr>
            <w:rStyle w:val="Bodytext1"/>
            <w:vertAlign w:val="superscript"/>
          </w:rPr>
          <w:footnoteReference w:id="8"/>
        </w:r>
      </w:hyperlink>
      <w:r>
        <w:rPr>
          <w:rStyle w:val="Bodytext1"/>
        </w:rPr>
        <w:t>, atkāpes</w:t>
      </w:r>
      <w:hyperlink w:anchor="bookmark8" w:tooltip="Current Document">
        <w:r w:rsidRPr="00417235">
          <w:rPr>
            <w:rStyle w:val="Bodytext1"/>
            <w:vertAlign w:val="superscript"/>
          </w:rPr>
          <w:footnoteReference w:id="9"/>
        </w:r>
      </w:hyperlink>
      <w:r>
        <w:rPr>
          <w:rStyle w:val="Bodytext1"/>
        </w:rPr>
        <w:t xml:space="preserve">). Tomēr šis tiesiskās aizsardzības mehānisms attiecas tikai uz datiem, kas nosūtīti </w:t>
      </w:r>
      <w:r>
        <w:rPr>
          <w:rStyle w:val="Bodytext1"/>
          <w:b/>
        </w:rPr>
        <w:t>pēc 2023. gada 10. jūlija.</w:t>
      </w:r>
    </w:p>
    <w:p w14:paraId="1D994108" w14:textId="77777777" w:rsidR="00397CFC" w:rsidRDefault="00000000">
      <w:pPr>
        <w:pStyle w:val="Bodytext10"/>
        <w:spacing w:after="460"/>
        <w:jc w:val="both"/>
      </w:pPr>
      <w:r>
        <w:rPr>
          <w:rStyle w:val="Bodytext1"/>
          <w:i/>
        </w:rPr>
        <w:t>Lūdzu, ņemiet vērā, ka informācija par iespēju iesniegt sūdzību par privātas ASV organizācijas atbilstību datu privātuma regulējumā noteiktajiem principiem ir atrodama šeit:</w:t>
      </w:r>
      <w:hyperlink r:id="rId10" w:history="1">
        <w:r>
          <w:rPr>
            <w:rStyle w:val="Bodytext1"/>
            <w:i/>
          </w:rPr>
          <w:t xml:space="preserve"> </w:t>
        </w:r>
        <w:r>
          <w:rPr>
            <w:rStyle w:val="Bodytext1"/>
            <w:i/>
            <w:color w:val="0563C1"/>
            <w:u w:val="single"/>
          </w:rPr>
          <w:t>https://www.edpb.europa.eu/our-work-tools/our-documents/other-</w:t>
        </w:r>
      </w:hyperlink>
      <w:r>
        <w:rPr>
          <w:rStyle w:val="Bodytext1"/>
          <w:i/>
          <w:color w:val="0563C1"/>
          <w:u w:val="single"/>
        </w:rPr>
        <w:t xml:space="preserve"> </w:t>
      </w:r>
      <w:hyperlink r:id="rId11" w:history="1">
        <w:proofErr w:type="spellStart"/>
        <w:r>
          <w:rPr>
            <w:rStyle w:val="Bodytext1"/>
            <w:i/>
            <w:color w:val="0563C1"/>
            <w:u w:val="single"/>
          </w:rPr>
          <w:t>guidance</w:t>
        </w:r>
        <w:proofErr w:type="spellEnd"/>
        <w:r>
          <w:rPr>
            <w:rStyle w:val="Bodytext1"/>
            <w:i/>
            <w:color w:val="0563C1"/>
            <w:u w:val="single"/>
          </w:rPr>
          <w:t>/</w:t>
        </w:r>
        <w:proofErr w:type="spellStart"/>
        <w:r>
          <w:rPr>
            <w:rStyle w:val="Bodytext1"/>
            <w:i/>
            <w:color w:val="0563C1"/>
            <w:u w:val="single"/>
          </w:rPr>
          <w:t>eu-us-data-privacy-framework-template-complaint-form</w:t>
        </w:r>
        <w:proofErr w:type="spellEnd"/>
        <w:r>
          <w:rPr>
            <w:rStyle w:val="Bodytext1"/>
            <w:i/>
            <w:color w:val="0563C1"/>
            <w:u w:val="single"/>
          </w:rPr>
          <w:t xml:space="preserve"> </w:t>
        </w:r>
        <w:proofErr w:type="spellStart"/>
        <w:r>
          <w:rPr>
            <w:rStyle w:val="Bodytext1"/>
            <w:i/>
            <w:color w:val="0563C1"/>
            <w:u w:val="single"/>
          </w:rPr>
          <w:t>en</w:t>
        </w:r>
        <w:proofErr w:type="spellEnd"/>
      </w:hyperlink>
    </w:p>
    <w:p w14:paraId="1B6088DB" w14:textId="77777777" w:rsidR="00397CFC" w:rsidRDefault="00000000">
      <w:pPr>
        <w:pStyle w:val="Heading110"/>
        <w:keepNext/>
        <w:keepLines/>
        <w:jc w:val="both"/>
      </w:pPr>
      <w:bookmarkStart w:id="10" w:name="bookmark36"/>
      <w:r>
        <w:rPr>
          <w:rStyle w:val="Heading11"/>
          <w:b/>
        </w:rPr>
        <w:t>Kā iesniegt sūdzību?</w:t>
      </w:r>
      <w:bookmarkEnd w:id="10"/>
    </w:p>
    <w:p w14:paraId="616EEED5" w14:textId="77777777" w:rsidR="00397CFC" w:rsidRDefault="00000000">
      <w:pPr>
        <w:pStyle w:val="Bodytext10"/>
        <w:spacing w:after="220"/>
        <w:jc w:val="both"/>
      </w:pPr>
      <w:r>
        <w:rPr>
          <w:rStyle w:val="Bodytext1"/>
        </w:rPr>
        <w:t xml:space="preserve">Sūdzības </w:t>
      </w:r>
      <w:proofErr w:type="spellStart"/>
      <w:r>
        <w:rPr>
          <w:rStyle w:val="Bodytext1"/>
        </w:rPr>
        <w:t>jānosūta</w:t>
      </w:r>
      <w:proofErr w:type="spellEnd"/>
      <w:r>
        <w:rPr>
          <w:rStyle w:val="Bodytext1"/>
        </w:rPr>
        <w:t xml:space="preserve"> </w:t>
      </w:r>
      <w:r>
        <w:rPr>
          <w:rStyle w:val="Bodytext1"/>
          <w:b/>
        </w:rPr>
        <w:t xml:space="preserve">par konkrēto personu kompetentajai ES/EEZ datu aizsardzības iestādei </w:t>
      </w:r>
      <w:r>
        <w:rPr>
          <w:rStyle w:val="Bodytext1"/>
        </w:rPr>
        <w:t xml:space="preserve"> </w:t>
      </w:r>
      <w:r>
        <w:rPr>
          <w:rStyle w:val="Bodytext1"/>
          <w:b/>
        </w:rPr>
        <w:t>(DAI).</w:t>
      </w:r>
      <w:r>
        <w:rPr>
          <w:rStyle w:val="Bodytext1"/>
        </w:rPr>
        <w:t xml:space="preserve"> ES/EEZ dalībvalstu DAI saraksts ir pieejams šeit: </w:t>
      </w:r>
      <w:hyperlink r:id="rId12" w:history="1">
        <w:r>
          <w:rPr>
            <w:rStyle w:val="Bodytext1"/>
            <w:color w:val="0563C1"/>
            <w:u w:val="single"/>
          </w:rPr>
          <w:t>https://edpb.europa.eu/about-</w:t>
        </w:r>
        <w:r>
          <w:rPr>
            <w:rStyle w:val="Bodytext1"/>
            <w:color w:val="0563C1"/>
            <w:u w:val="single"/>
          </w:rPr>
          <w:lastRenderedPageBreak/>
          <w:t xml:space="preserve">edpb/about-edpb/members </w:t>
        </w:r>
        <w:proofErr w:type="spellStart"/>
        <w:r>
          <w:rPr>
            <w:rStyle w:val="Bodytext1"/>
            <w:color w:val="0563C1"/>
            <w:u w:val="single"/>
          </w:rPr>
          <w:t>en</w:t>
        </w:r>
        <w:proofErr w:type="spellEnd"/>
        <w:r>
          <w:rPr>
            <w:rStyle w:val="Bodytext1"/>
            <w:color w:val="0563C1"/>
            <w:u w:val="single"/>
          </w:rPr>
          <w:t>.</w:t>
        </w:r>
      </w:hyperlink>
    </w:p>
    <w:p w14:paraId="77CD40D6" w14:textId="494B6ADF" w:rsidR="00397CFC" w:rsidRDefault="00000000" w:rsidP="00417235">
      <w:pPr>
        <w:pStyle w:val="Bodytext10"/>
        <w:jc w:val="both"/>
      </w:pPr>
      <w:r>
        <w:rPr>
          <w:rStyle w:val="Bodytext1"/>
          <w:i/>
        </w:rPr>
        <w:t xml:space="preserve">[EDAK ir pieņēmusi </w:t>
      </w:r>
      <w:r>
        <w:rPr>
          <w:rStyle w:val="Bodytext1"/>
          <w:b/>
          <w:i/>
        </w:rPr>
        <w:t xml:space="preserve">reglamentu, lai </w:t>
      </w:r>
      <w:r>
        <w:rPr>
          <w:rStyle w:val="Bodytext1"/>
          <w:i/>
        </w:rPr>
        <w:t xml:space="preserve">sniegtu norādījumus DAI par to attiecīgajiem uzdevumiem </w:t>
      </w:r>
      <w:r w:rsidRPr="00417235">
        <w:rPr>
          <w:rStyle w:val="Bodytext1"/>
          <w:i/>
          <w:color w:val="auto"/>
        </w:rPr>
        <w:t>un pienākumiem.]</w:t>
      </w:r>
      <w:r w:rsidRPr="00417235">
        <w:rPr>
          <w:rStyle w:val="Bodytext1"/>
          <w:color w:val="auto"/>
        </w:rPr>
        <w:t xml:space="preserve"> Ir izveidota </w:t>
      </w:r>
      <w:r w:rsidRPr="00417235">
        <w:rPr>
          <w:rStyle w:val="Bodytext1"/>
          <w:b/>
          <w:color w:val="auto"/>
        </w:rPr>
        <w:t xml:space="preserve">ES individuālās sūdzības veidlapa, </w:t>
      </w:r>
      <w:r w:rsidRPr="00417235">
        <w:rPr>
          <w:rStyle w:val="Bodytext1"/>
          <w:color w:val="auto"/>
        </w:rPr>
        <w:t>lai ES/EEZ privātpersonas varētu iesniegt sūdzības PBPI</w:t>
      </w:r>
      <w:r w:rsidR="00417235" w:rsidRPr="00417235">
        <w:rPr>
          <w:rStyle w:val="Bodytext1"/>
          <w:color w:val="auto"/>
        </w:rPr>
        <w:t xml:space="preserve"> </w:t>
      </w:r>
      <w:r w:rsidR="00417235" w:rsidRPr="00417235">
        <w:rPr>
          <w:rStyle w:val="Bodytext1"/>
          <w:color w:val="auto"/>
          <w:szCs w:val="24"/>
        </w:rPr>
        <w:t>(</w:t>
      </w:r>
      <w:r w:rsidR="00417235" w:rsidRPr="00417235">
        <w:rPr>
          <w:color w:val="auto"/>
          <w:szCs w:val="24"/>
        </w:rPr>
        <w:t>Nacionālā izlūkdienesta pilsoņu brīvību aizsardzības virsniek</w:t>
      </w:r>
      <w:r w:rsidR="00417235" w:rsidRPr="00417235">
        <w:rPr>
          <w:color w:val="auto"/>
          <w:szCs w:val="24"/>
        </w:rPr>
        <w:t>am</w:t>
      </w:r>
      <w:r w:rsidR="00417235" w:rsidRPr="00417235">
        <w:rPr>
          <w:rStyle w:val="Bodytext1"/>
          <w:color w:val="auto"/>
          <w:szCs w:val="24"/>
        </w:rPr>
        <w:t>)</w:t>
      </w:r>
      <w:r w:rsidRPr="00417235">
        <w:rPr>
          <w:rStyle w:val="Bodytext1"/>
          <w:color w:val="auto"/>
          <w:szCs w:val="24"/>
        </w:rPr>
        <w:t xml:space="preserve"> </w:t>
      </w:r>
      <w:hyperlink r:id="rId13" w:history="1">
        <w:r>
          <w:rPr>
            <w:rStyle w:val="Bodytext1"/>
            <w:color w:val="0563C1"/>
            <w:u w:val="single"/>
          </w:rPr>
          <w:t>https://www.e</w:t>
        </w:r>
        <w:r>
          <w:rPr>
            <w:rStyle w:val="Bodytext1"/>
            <w:color w:val="0563C1"/>
            <w:u w:val="single"/>
          </w:rPr>
          <w:t>d</w:t>
        </w:r>
        <w:r>
          <w:rPr>
            <w:rStyle w:val="Bodytext1"/>
            <w:color w:val="0563C1"/>
            <w:u w:val="single"/>
          </w:rPr>
          <w:t>pb.europa.eu/our-work-tools/our-documents/other-guidance/template-</w:t>
        </w:r>
      </w:hyperlink>
      <w:r>
        <w:rPr>
          <w:rStyle w:val="Bodytext1"/>
          <w:color w:val="0563C1"/>
          <w:u w:val="single"/>
        </w:rPr>
        <w:t xml:space="preserve"> </w:t>
      </w:r>
      <w:hyperlink r:id="rId14" w:history="1">
        <w:proofErr w:type="spellStart"/>
        <w:r>
          <w:rPr>
            <w:rStyle w:val="Bodytext1"/>
            <w:color w:val="0563C1"/>
            <w:u w:val="single"/>
          </w:rPr>
          <w:t>complaint-form-us-office-director-national</w:t>
        </w:r>
        <w:proofErr w:type="spellEnd"/>
        <w:r>
          <w:rPr>
            <w:rStyle w:val="Bodytext1"/>
            <w:color w:val="0563C1"/>
            <w:u w:val="single"/>
          </w:rPr>
          <w:t xml:space="preserve"> </w:t>
        </w:r>
        <w:proofErr w:type="spellStart"/>
        <w:r>
          <w:rPr>
            <w:rStyle w:val="Bodytext1"/>
            <w:color w:val="0563C1"/>
            <w:u w:val="single"/>
          </w:rPr>
          <w:t>en</w:t>
        </w:r>
        <w:proofErr w:type="spellEnd"/>
      </w:hyperlink>
    </w:p>
    <w:p w14:paraId="183D3B52" w14:textId="77777777" w:rsidR="00397CFC" w:rsidRDefault="00000000">
      <w:pPr>
        <w:pStyle w:val="Heading110"/>
        <w:keepNext/>
        <w:keepLines/>
      </w:pPr>
      <w:bookmarkStart w:id="11" w:name="bookmark38"/>
      <w:r>
        <w:rPr>
          <w:rStyle w:val="Heading11"/>
          <w:b/>
        </w:rPr>
        <w:t>Kā DAI izskatīs sūdzību?</w:t>
      </w:r>
      <w:bookmarkEnd w:id="11"/>
    </w:p>
    <w:p w14:paraId="001969B9" w14:textId="77777777" w:rsidR="00397CFC" w:rsidRDefault="00000000">
      <w:pPr>
        <w:pStyle w:val="Bodytext10"/>
      </w:pPr>
      <w:r>
        <w:rPr>
          <w:rStyle w:val="Bodytext1"/>
        </w:rPr>
        <w:t xml:space="preserve">ES/EEZ valsts DAI </w:t>
      </w:r>
      <w:r>
        <w:rPr>
          <w:rStyle w:val="Bodytext1"/>
          <w:b/>
        </w:rPr>
        <w:t>pārbaudīs atsevišķu sūdzības iesniedzēju identitāti</w:t>
      </w:r>
      <w:hyperlink w:anchor="bookmark9" w:tooltip="Current Document">
        <w:r w:rsidRPr="00417235">
          <w:rPr>
            <w:rStyle w:val="Bodytext1"/>
            <w:b/>
            <w:vertAlign w:val="superscript"/>
          </w:rPr>
          <w:footnoteReference w:id="10"/>
        </w:r>
      </w:hyperlink>
      <w:r>
        <w:rPr>
          <w:rStyle w:val="Bodytext1"/>
          <w:b/>
        </w:rPr>
        <w:t xml:space="preserve"> (plašāku </w:t>
      </w:r>
      <w:r>
        <w:rPr>
          <w:rStyle w:val="Bodytext1"/>
        </w:rPr>
        <w:t xml:space="preserve">informāciju par to, kā DAI veic šādu pārbaudi, skatīt arī: Saite uz katras DAI procedūru </w:t>
      </w:r>
      <w:r>
        <w:rPr>
          <w:rStyle w:val="Bodytext1"/>
          <w:b/>
        </w:rPr>
        <w:t xml:space="preserve">un </w:t>
      </w:r>
      <w:r>
        <w:rPr>
          <w:rStyle w:val="Bodytext1"/>
        </w:rPr>
        <w:t xml:space="preserve"> </w:t>
      </w:r>
      <w:r>
        <w:rPr>
          <w:rStyle w:val="Bodytext1"/>
          <w:b/>
        </w:rPr>
        <w:t xml:space="preserve">pārbaudīs, vai sūdzība ir pilnīga un atbilst ASV tiesību aktos izklāstītajiem nosacījumiem. </w:t>
      </w:r>
      <w:hyperlink w:anchor="bookmark10" w:tooltip="Current Document">
        <w:r>
          <w:rPr>
            <w:rStyle w:val="Bodytext1"/>
          </w:rPr>
          <w:footnoteReference w:id="11"/>
        </w:r>
      </w:hyperlink>
    </w:p>
    <w:p w14:paraId="69F982C5" w14:textId="77777777" w:rsidR="00397CFC" w:rsidRDefault="00000000">
      <w:pPr>
        <w:pStyle w:val="Bodytext10"/>
        <w:spacing w:after="0"/>
      </w:pPr>
      <w:r>
        <w:rPr>
          <w:rStyle w:val="Bodytext1"/>
        </w:rPr>
        <w:t>Jo īpaši tas nozīmē, ka DAI pārbaudīs:</w:t>
      </w:r>
    </w:p>
    <w:p w14:paraId="241AB1FC" w14:textId="77777777" w:rsidR="00397CFC" w:rsidRDefault="00000000">
      <w:pPr>
        <w:pStyle w:val="Bodytext10"/>
        <w:numPr>
          <w:ilvl w:val="0"/>
          <w:numId w:val="1"/>
        </w:numPr>
        <w:tabs>
          <w:tab w:val="left" w:pos="998"/>
        </w:tabs>
        <w:spacing w:after="0"/>
        <w:ind w:left="740"/>
        <w:jc w:val="both"/>
      </w:pPr>
      <w:r>
        <w:rPr>
          <w:rStyle w:val="Bodytext1"/>
        </w:rPr>
        <w:t>sūdzības iesniedzēja identitāti un to, ka viņš rīkojas tikai savā vārdā, nevis kā valsts, nevalstiskas vai starpvaldību organizācijas pārstāvis;</w:t>
      </w:r>
    </w:p>
    <w:p w14:paraId="2F2ADFAC" w14:textId="77777777" w:rsidR="00397CFC" w:rsidRDefault="00000000">
      <w:pPr>
        <w:pStyle w:val="Bodytext10"/>
        <w:numPr>
          <w:ilvl w:val="0"/>
          <w:numId w:val="1"/>
        </w:numPr>
        <w:tabs>
          <w:tab w:val="left" w:pos="998"/>
        </w:tabs>
        <w:spacing w:after="0"/>
        <w:ind w:left="740"/>
        <w:jc w:val="both"/>
      </w:pPr>
      <w:r>
        <w:rPr>
          <w:rStyle w:val="Bodytext1"/>
        </w:rPr>
        <w:t>ka sūdzības iesniedzējs uzskata, ka ir pārkāpts viens vai vairāki ASV tiesību akti, ja ASV izlūkdienesti ir nelikumīgi piekļuvuši sūdzības iesniedzēja personas datiem vai datiem par viņu pēc tam, kad viņa personas dati tika nosūtīti no ES uz ASV;</w:t>
      </w:r>
    </w:p>
    <w:p w14:paraId="1AD39C22" w14:textId="77777777" w:rsidR="00397CFC" w:rsidRDefault="00000000">
      <w:pPr>
        <w:pStyle w:val="Bodytext10"/>
        <w:spacing w:after="0"/>
        <w:ind w:left="740"/>
        <w:jc w:val="both"/>
      </w:pPr>
      <w:r>
        <w:rPr>
          <w:rStyle w:val="Bodytext1"/>
        </w:rPr>
        <w:t>- Sūdzībā rakstiski (arī pa e-pastu) ir ietverta visa attiecīgā informācija (kam</w:t>
      </w:r>
      <w:r>
        <w:rPr>
          <w:rStyle w:val="Bodytext1"/>
          <w:b/>
        </w:rPr>
        <w:t xml:space="preserve"> </w:t>
      </w:r>
      <w:r>
        <w:rPr>
          <w:rStyle w:val="Bodytext1"/>
          <w:b/>
          <w:u w:val="single"/>
        </w:rPr>
        <w:t>nav</w:t>
      </w:r>
      <w:r>
        <w:rPr>
          <w:rStyle w:val="Bodytext1"/>
          <w:b/>
        </w:rPr>
        <w:t xml:space="preserve"> jāpierāda, ka sūdzības iesniedzēju dati faktiski ir bijuši pakļauti ASV sakaru izlūkošanas darbībām):</w:t>
      </w:r>
    </w:p>
    <w:p w14:paraId="4319853D" w14:textId="77777777" w:rsidR="00397CFC" w:rsidRDefault="00000000">
      <w:pPr>
        <w:pStyle w:val="Bodytext10"/>
        <w:spacing w:after="0" w:line="233" w:lineRule="auto"/>
        <w:ind w:left="1400" w:hanging="360"/>
        <w:jc w:val="both"/>
      </w:pPr>
      <w:r>
        <w:rPr>
          <w:rStyle w:val="Bodytext1"/>
          <w:rFonts w:ascii="Courier New" w:eastAsia="Courier New" w:hAnsi="Courier New" w:cs="Courier New"/>
        </w:rPr>
        <w:t xml:space="preserve">o </w:t>
      </w:r>
      <w:r>
        <w:rPr>
          <w:rStyle w:val="Bodytext1"/>
        </w:rPr>
        <w:t>jebkādu informāciju, kas ir sūdzības pamatā, tostarp informāciju par tiešsaistes kontu vai personas datu nosūtīšanu, par kuru tiek uzskatīts, ka tai, iespējams, ir piekļūts;</w:t>
      </w:r>
    </w:p>
    <w:p w14:paraId="45195A8A" w14:textId="77777777" w:rsidR="00397CFC" w:rsidRDefault="00000000">
      <w:pPr>
        <w:pStyle w:val="Bodytext10"/>
        <w:spacing w:after="0" w:line="230" w:lineRule="auto"/>
        <w:ind w:left="1040"/>
      </w:pPr>
      <w:r>
        <w:rPr>
          <w:rStyle w:val="Bodytext1"/>
          <w:rFonts w:ascii="Courier New" w:eastAsia="Courier New" w:hAnsi="Courier New" w:cs="Courier New"/>
        </w:rPr>
        <w:t xml:space="preserve">o </w:t>
      </w:r>
      <w:r>
        <w:rPr>
          <w:rStyle w:val="Bodytext1"/>
        </w:rPr>
        <w:t>prasības pieteikuma būtību;</w:t>
      </w:r>
      <w:hyperlink w:anchor="bookmark11" w:tooltip="Current Document">
        <w:r w:rsidRPr="00417235">
          <w:rPr>
            <w:rStyle w:val="Bodytext1"/>
            <w:vertAlign w:val="superscript"/>
          </w:rPr>
          <w:footnoteReference w:id="12"/>
        </w:r>
      </w:hyperlink>
    </w:p>
    <w:p w14:paraId="78B330C1" w14:textId="77777777" w:rsidR="00397CFC" w:rsidRDefault="00000000">
      <w:pPr>
        <w:pStyle w:val="Bodytext10"/>
        <w:spacing w:after="0" w:line="233" w:lineRule="auto"/>
        <w:ind w:left="1400" w:hanging="360"/>
        <w:jc w:val="both"/>
      </w:pPr>
      <w:r>
        <w:rPr>
          <w:rStyle w:val="Bodytext1"/>
          <w:rFonts w:ascii="Courier New" w:eastAsia="Courier New" w:hAnsi="Courier New" w:cs="Courier New"/>
        </w:rPr>
        <w:t xml:space="preserve">o </w:t>
      </w:r>
      <w:r>
        <w:rPr>
          <w:rStyle w:val="Bodytext1"/>
        </w:rPr>
        <w:t>konkrētie līdzekļi, ar kuriem tiek uzskatīts, ka sūdzības iesniedzēju personas dati vai dati par tiem ir nosūtīti uz ASV;</w:t>
      </w:r>
    </w:p>
    <w:p w14:paraId="0D62470A" w14:textId="77777777" w:rsidR="00397CFC" w:rsidRDefault="00000000">
      <w:pPr>
        <w:pStyle w:val="Bodytext10"/>
        <w:spacing w:after="0" w:line="233" w:lineRule="auto"/>
        <w:ind w:left="1400" w:hanging="360"/>
        <w:jc w:val="both"/>
      </w:pPr>
      <w:r>
        <w:rPr>
          <w:rStyle w:val="Bodytext1"/>
          <w:rFonts w:ascii="Courier New" w:eastAsia="Courier New" w:hAnsi="Courier New" w:cs="Courier New"/>
        </w:rPr>
        <w:t xml:space="preserve">o </w:t>
      </w:r>
      <w:r>
        <w:rPr>
          <w:rStyle w:val="Bodytext1"/>
        </w:rPr>
        <w:t>kura ASV valdības struktūra vai struktūras, domājams, ir iesaistītas piekļuvē sūdzības iesniedzēja personas datiem vai datiem par viņu (ja zināms);</w:t>
      </w:r>
    </w:p>
    <w:p w14:paraId="0E4C05E8" w14:textId="77777777" w:rsidR="00397CFC" w:rsidRDefault="00000000">
      <w:pPr>
        <w:pStyle w:val="Bodytext10"/>
        <w:spacing w:after="0" w:line="233" w:lineRule="auto"/>
        <w:ind w:left="1400" w:hanging="360"/>
        <w:jc w:val="both"/>
      </w:pPr>
      <w:r>
        <w:rPr>
          <w:rStyle w:val="Bodytext1"/>
          <w:rFonts w:ascii="Courier New" w:eastAsia="Courier New" w:hAnsi="Courier New" w:cs="Courier New"/>
        </w:rPr>
        <w:t xml:space="preserve">o </w:t>
      </w:r>
      <w:r>
        <w:rPr>
          <w:rStyle w:val="Bodytext1"/>
        </w:rPr>
        <w:t>un jebkādi citi pasākumi, ko sūdzības iesniedzējs varētu būt veicis, lai iegūtu pieprasīto informāciju vai atvieglojumus, un atbilde, kas saņemta, izmantojot šos citus pasākumus;</w:t>
      </w:r>
    </w:p>
    <w:p w14:paraId="158B3C66" w14:textId="77777777" w:rsidR="00397CFC" w:rsidRDefault="00000000">
      <w:pPr>
        <w:pStyle w:val="Bodytext10"/>
        <w:spacing w:after="0" w:line="233" w:lineRule="auto"/>
        <w:ind w:left="1400" w:hanging="360"/>
        <w:jc w:val="both"/>
      </w:pPr>
      <w:r>
        <w:rPr>
          <w:rStyle w:val="Bodytext1"/>
          <w:rFonts w:ascii="Courier New" w:eastAsia="Courier New" w:hAnsi="Courier New" w:cs="Courier New"/>
        </w:rPr>
        <w:t xml:space="preserve">o </w:t>
      </w:r>
      <w:r>
        <w:rPr>
          <w:rStyle w:val="Bodytext1"/>
        </w:rPr>
        <w:t>tas attiecas uz sūdzības iesniedzēju personas datiem vai datiem par sūdzības iesniedzējiem, kuri, domājams, ir pārsūtīti uz ASV pēc 2023. gada 10. jūlija;</w:t>
      </w:r>
    </w:p>
    <w:p w14:paraId="1998C17D" w14:textId="77777777" w:rsidR="00397CFC" w:rsidRDefault="00000000">
      <w:pPr>
        <w:pStyle w:val="Bodytext10"/>
        <w:ind w:firstLine="740"/>
      </w:pPr>
      <w:r>
        <w:rPr>
          <w:rStyle w:val="Bodytext1"/>
        </w:rPr>
        <w:t>- Sūdzība nav nenozīmīga, maldinoša vai ļaunticīga.</w:t>
      </w:r>
    </w:p>
    <w:p w14:paraId="1443A73D" w14:textId="77777777" w:rsidR="00397CFC" w:rsidRDefault="00000000">
      <w:pPr>
        <w:pStyle w:val="Bodytext10"/>
        <w:jc w:val="both"/>
      </w:pPr>
      <w:r>
        <w:rPr>
          <w:rStyle w:val="Bodytext1"/>
        </w:rPr>
        <w:t xml:space="preserve">Pēc šīs pārbaudes un tad, ja sūdzība tiks atzīta par pilnīgu, DAI to šifrētā formātā nosūtīs </w:t>
      </w:r>
      <w:r>
        <w:rPr>
          <w:rStyle w:val="Bodytext1"/>
          <w:b/>
        </w:rPr>
        <w:t>Eiropas Datu aizsardzības kolēģijas sekretariātam (“EDAK”).</w:t>
      </w:r>
    </w:p>
    <w:p w14:paraId="027385F0" w14:textId="77777777" w:rsidR="00397CFC" w:rsidRDefault="00000000">
      <w:pPr>
        <w:pStyle w:val="Bodytext10"/>
        <w:jc w:val="both"/>
      </w:pPr>
      <w:r>
        <w:rPr>
          <w:rStyle w:val="Bodytext1"/>
          <w:b/>
        </w:rPr>
        <w:t>sekretariāts”)</w:t>
      </w:r>
      <w:r>
        <w:rPr>
          <w:rStyle w:val="Bodytext1"/>
        </w:rPr>
        <w:t xml:space="preserve"> </w:t>
      </w:r>
      <w:hyperlink w:anchor="bookmark12" w:tooltip="Current Document">
        <w:r w:rsidRPr="00417235">
          <w:rPr>
            <w:rStyle w:val="Bodytext1"/>
            <w:vertAlign w:val="superscript"/>
          </w:rPr>
          <w:footnoteReference w:id="13"/>
        </w:r>
      </w:hyperlink>
      <w:r w:rsidRPr="00417235">
        <w:rPr>
          <w:rStyle w:val="Bodytext1"/>
        </w:rPr>
        <w:t>.</w:t>
      </w:r>
      <w:r>
        <w:rPr>
          <w:rStyle w:val="Bodytext1"/>
        </w:rPr>
        <w:t xml:space="preserve"> Pēc </w:t>
      </w:r>
      <w:r>
        <w:rPr>
          <w:rStyle w:val="Bodytext1"/>
          <w:b/>
        </w:rPr>
        <w:t xml:space="preserve">tam tā šifrētā formātā to nosūtīs </w:t>
      </w:r>
      <w:r>
        <w:rPr>
          <w:rStyle w:val="Bodytext1"/>
        </w:rPr>
        <w:t>ASV iestādēm,</w:t>
      </w:r>
      <w:hyperlink w:anchor="bookmark13" w:tooltip="Current Document">
        <w:r w:rsidRPr="00417235">
          <w:rPr>
            <w:rStyle w:val="Bodytext1"/>
            <w:vertAlign w:val="superscript"/>
          </w:rPr>
          <w:footnoteReference w:id="14"/>
        </w:r>
      </w:hyperlink>
      <w:r>
        <w:rPr>
          <w:rStyle w:val="Bodytext1"/>
        </w:rPr>
        <w:t xml:space="preserve"> kas ir kompetentas </w:t>
      </w:r>
      <w:r>
        <w:rPr>
          <w:rStyle w:val="Bodytext1"/>
        </w:rPr>
        <w:lastRenderedPageBreak/>
        <w:t xml:space="preserve">izskatīt sūdzību, proti, Nacionālās izlūkošanas direktora </w:t>
      </w:r>
      <w:r>
        <w:rPr>
          <w:rStyle w:val="Bodytext1"/>
          <w:b/>
        </w:rPr>
        <w:t>Pilsoņu brīvību aizsardzības speciālista birojam (CLPO).</w:t>
      </w:r>
      <w:r>
        <w:rPr>
          <w:rStyle w:val="Bodytext1"/>
        </w:rPr>
        <w:t xml:space="preserve"> </w:t>
      </w:r>
      <w:hyperlink w:anchor="bookmark14" w:tooltip="Current Document">
        <w:r>
          <w:rPr>
            <w:rStyle w:val="Bodytext1"/>
          </w:rPr>
          <w:footnoteReference w:id="15"/>
        </w:r>
      </w:hyperlink>
    </w:p>
    <w:p w14:paraId="24E5F333" w14:textId="77777777" w:rsidR="00397CFC" w:rsidRDefault="00000000">
      <w:pPr>
        <w:pStyle w:val="Heading110"/>
        <w:keepNext/>
        <w:keepLines/>
        <w:jc w:val="both"/>
      </w:pPr>
      <w:bookmarkStart w:id="18" w:name="bookmark40"/>
      <w:r>
        <w:rPr>
          <w:rStyle w:val="Heading11"/>
          <w:b/>
        </w:rPr>
        <w:t>Kāda ir CLPO loma?</w:t>
      </w:r>
      <w:bookmarkEnd w:id="18"/>
    </w:p>
    <w:p w14:paraId="24AFA90C" w14:textId="77777777" w:rsidR="00397CFC" w:rsidRDefault="00000000">
      <w:pPr>
        <w:pStyle w:val="Bodytext10"/>
        <w:jc w:val="both"/>
      </w:pPr>
      <w:r>
        <w:rPr>
          <w:rStyle w:val="Bodytext1"/>
        </w:rPr>
        <w:t>CLPO ir atbildīga par sūdzības izmeklēšanu, lai noteiktu, vai ir pārkāpti E.O. 14086 vai citos piemērojamos ASV tiesību aktos paredzētie aizsardzības pasākumi, un, ja tā ir, noteiktu atbilstošu saistošu sanāciju.</w:t>
      </w:r>
      <w:hyperlink w:anchor="bookmark15" w:tooltip="Current Document">
        <w:r>
          <w:rPr>
            <w:rStyle w:val="Bodytext1"/>
          </w:rPr>
          <w:footnoteReference w:id="16"/>
        </w:r>
      </w:hyperlink>
      <w:r>
        <w:rPr>
          <w:rStyle w:val="Bodytext1"/>
        </w:rPr>
        <w:t xml:space="preserve"> CLPO ar EDAK sekretariāta starpniecību savlaicīgi sniegs atbildi</w:t>
      </w:r>
      <w:hyperlink w:anchor="bookmark16" w:tooltip="Current Document">
        <w:r w:rsidRPr="00417235">
          <w:rPr>
            <w:rStyle w:val="Bodytext1"/>
            <w:vertAlign w:val="superscript"/>
          </w:rPr>
          <w:footnoteReference w:id="17"/>
        </w:r>
        <w:r w:rsidRPr="00417235">
          <w:rPr>
            <w:rStyle w:val="Bodytext1"/>
            <w:vertAlign w:val="superscript"/>
          </w:rPr>
          <w:t xml:space="preserve"> </w:t>
        </w:r>
      </w:hyperlink>
      <w:r>
        <w:rPr>
          <w:rStyle w:val="Bodytext1"/>
        </w:rPr>
        <w:t>DAI. Šī atbilde apstiprinās, ka:</w:t>
      </w:r>
    </w:p>
    <w:p w14:paraId="01F500B6" w14:textId="77777777" w:rsidR="00397CFC" w:rsidRDefault="00000000">
      <w:pPr>
        <w:pStyle w:val="Bodytext10"/>
        <w:numPr>
          <w:ilvl w:val="0"/>
          <w:numId w:val="2"/>
        </w:numPr>
        <w:tabs>
          <w:tab w:val="left" w:pos="1135"/>
        </w:tabs>
        <w:spacing w:after="0"/>
        <w:ind w:left="720" w:firstLine="20"/>
        <w:jc w:val="both"/>
      </w:pPr>
      <w:r>
        <w:rPr>
          <w:rStyle w:val="Bodytext1"/>
        </w:rPr>
        <w:t>“Pārskatīšanā vai nu netika konstatēti nekādi aptverti pārkāpumi, vai arī Nacionālās izlūkošanas direktora biroja pilsonisko brīvību aizsardzības amatpersona izdeva lēmumu, kas prasa pienācīgu labošanu”.</w:t>
      </w:r>
      <w:hyperlink w:anchor="bookmark17" w:tooltip="Current Document">
        <w:r>
          <w:rPr>
            <w:rStyle w:val="Bodytext1"/>
          </w:rPr>
          <w:t xml:space="preserve"> </w:t>
        </w:r>
        <w:r>
          <w:rPr>
            <w:rStyle w:val="Bodytext1"/>
          </w:rPr>
          <w:footnoteReference w:id="18"/>
        </w:r>
      </w:hyperlink>
      <w:r>
        <w:rPr>
          <w:rStyle w:val="Bodytext1"/>
        </w:rPr>
        <w:t xml:space="preserve"> Savā standartizētajā atbildē ODNI CLPO nedz apstiprinās,</w:t>
      </w:r>
      <w:hyperlink w:anchor="bookmark18" w:tooltip="Current Document">
        <w:r>
          <w:rPr>
            <w:rStyle w:val="Bodytext1"/>
          </w:rPr>
          <w:footnoteReference w:id="19"/>
        </w:r>
      </w:hyperlink>
      <w:r>
        <w:rPr>
          <w:rStyle w:val="Bodytext1"/>
        </w:rPr>
        <w:t xml:space="preserve"> nedz noliegs, vai sūdzības iesniedzējs ir bijis novērošanas objekts, nedz arī apstiprinās konkrēto piemēroto tiesiskās aizsardzības līdzekli;</w:t>
      </w:r>
    </w:p>
    <w:p w14:paraId="2F29074E" w14:textId="77777777" w:rsidR="00397CFC" w:rsidRDefault="00000000">
      <w:pPr>
        <w:pStyle w:val="Bodytext10"/>
        <w:numPr>
          <w:ilvl w:val="0"/>
          <w:numId w:val="2"/>
        </w:numPr>
        <w:tabs>
          <w:tab w:val="left" w:pos="1125"/>
        </w:tabs>
        <w:spacing w:after="0"/>
        <w:ind w:left="720" w:firstLine="20"/>
        <w:jc w:val="both"/>
      </w:pPr>
      <w:r>
        <w:rPr>
          <w:rStyle w:val="Bodytext1"/>
        </w:rPr>
        <w:t>Sūdzības iesniedzējs vai ASV izlūkdienests var pieprasīt CLPO lēmuma pārskatīšanu, iesniedzot pārsūdzību Datu aizsardzības pārskatīšanas tiesā (“DPRC”); un</w:t>
      </w:r>
    </w:p>
    <w:p w14:paraId="540A163A" w14:textId="7FA91DB0" w:rsidR="00397CFC" w:rsidRDefault="00000000">
      <w:pPr>
        <w:pStyle w:val="Bodytext10"/>
        <w:numPr>
          <w:ilvl w:val="0"/>
          <w:numId w:val="2"/>
        </w:numPr>
        <w:tabs>
          <w:tab w:val="left" w:pos="1121"/>
        </w:tabs>
        <w:ind w:left="720" w:firstLine="20"/>
        <w:jc w:val="both"/>
      </w:pPr>
      <w:r>
        <w:rPr>
          <w:rStyle w:val="Bodytext1"/>
        </w:rPr>
        <w:t>Ja sūdzības iesniedzējs vai izlūkošanas kopienas elements piesakās pārskatīšanai DPRC, DPRC izvēlēsies īpašu advokātu, kas aizstāvēs sūdzības iesniedzēja intereses šajā jautājumā (“īpašais</w:t>
      </w:r>
      <w:r w:rsidR="00417235">
        <w:rPr>
          <w:rStyle w:val="Bodytext1"/>
        </w:rPr>
        <w:t xml:space="preserve"> </w:t>
      </w:r>
      <w:r>
        <w:rPr>
          <w:rStyle w:val="Bodytext1"/>
          <w:b/>
        </w:rPr>
        <w:t>advokāts”).</w:t>
      </w:r>
    </w:p>
    <w:p w14:paraId="22038637" w14:textId="77777777" w:rsidR="00397CFC" w:rsidRDefault="00000000">
      <w:pPr>
        <w:pStyle w:val="Bodytext10"/>
        <w:spacing w:after="180"/>
        <w:jc w:val="both"/>
      </w:pPr>
      <w:r>
        <w:rPr>
          <w:rStyle w:val="Bodytext1"/>
        </w:rPr>
        <w:t>CLPO lēmums ir saistošs izlūkdienestu elementiem</w:t>
      </w:r>
      <w:hyperlink w:anchor="bookmark19" w:tooltip="Current Document">
        <w:r w:rsidRPr="00417235">
          <w:rPr>
            <w:rStyle w:val="Bodytext1"/>
            <w:vertAlign w:val="superscript"/>
          </w:rPr>
          <w:footnoteReference w:id="20"/>
        </w:r>
      </w:hyperlink>
      <w:r w:rsidRPr="00417235">
        <w:rPr>
          <w:rStyle w:val="Bodytext1"/>
          <w:vertAlign w:val="superscript"/>
        </w:rPr>
        <w:t>.</w:t>
      </w:r>
    </w:p>
    <w:p w14:paraId="7C40A8F8" w14:textId="77777777" w:rsidR="00397CFC" w:rsidRDefault="00000000">
      <w:pPr>
        <w:pStyle w:val="Bodytext10"/>
        <w:spacing w:after="180"/>
        <w:jc w:val="both"/>
      </w:pPr>
      <w:r>
        <w:rPr>
          <w:rStyle w:val="Bodytext1"/>
        </w:rPr>
        <w:t xml:space="preserve">CLPO </w:t>
      </w:r>
      <w:proofErr w:type="spellStart"/>
      <w:r>
        <w:rPr>
          <w:rStyle w:val="Bodytext1"/>
        </w:rPr>
        <w:t>nosūta</w:t>
      </w:r>
      <w:proofErr w:type="spellEnd"/>
      <w:r>
        <w:rPr>
          <w:rStyle w:val="Bodytext1"/>
        </w:rPr>
        <w:t xml:space="preserve"> atbildi EDAK sekretariātam šifrētā formātā, kas pēc tam to, arī šifrētā formātā, </w:t>
      </w:r>
      <w:proofErr w:type="spellStart"/>
      <w:r>
        <w:rPr>
          <w:rStyle w:val="Bodytext1"/>
        </w:rPr>
        <w:t>nosūta</w:t>
      </w:r>
      <w:proofErr w:type="spellEnd"/>
      <w:r>
        <w:rPr>
          <w:rStyle w:val="Bodytext1"/>
        </w:rPr>
        <w:t xml:space="preserve"> valsts DAI, kura sākotnēji saņēma sūdzību. Šī DAI savukārt informēs sūdzības iesniedzēju par CLPO atbildi (tostarp tulkojumu no angļu valodas, ja un ciktāl tas ir nepieciešams).</w:t>
      </w:r>
    </w:p>
    <w:p w14:paraId="579F2CC0" w14:textId="77777777" w:rsidR="00397CFC" w:rsidRDefault="00000000">
      <w:pPr>
        <w:pStyle w:val="Heading110"/>
        <w:keepNext/>
        <w:keepLines/>
        <w:jc w:val="both"/>
      </w:pPr>
      <w:bookmarkStart w:id="24" w:name="bookmark42"/>
      <w:r>
        <w:rPr>
          <w:rStyle w:val="Heading11"/>
          <w:b/>
        </w:rPr>
        <w:t>Kā pārsūdzēt CLPO lēmumu?</w:t>
      </w:r>
      <w:bookmarkEnd w:id="24"/>
    </w:p>
    <w:p w14:paraId="1084A8EE" w14:textId="77777777" w:rsidR="00397CFC" w:rsidRDefault="00000000">
      <w:pPr>
        <w:pStyle w:val="Bodytext10"/>
        <w:jc w:val="both"/>
      </w:pPr>
      <w:r>
        <w:rPr>
          <w:rStyle w:val="Bodytext1"/>
        </w:rPr>
        <w:t xml:space="preserve">Sūdzību iesniedzējiem ir iespēja pārsūdzēt CLPO lēmumu </w:t>
      </w:r>
      <w:r>
        <w:rPr>
          <w:rStyle w:val="Bodytext1"/>
          <w:b/>
        </w:rPr>
        <w:t xml:space="preserve">Datu aizsardzības pārskatīšanas tiesā (“DPRC”) 60 dienu laikā </w:t>
      </w:r>
      <w:r>
        <w:rPr>
          <w:rStyle w:val="Bodytext1"/>
        </w:rPr>
        <w:t>pēc tam, kad no valsts DAI ir saņemts paziņojums par CLPO atbildi.</w:t>
      </w:r>
      <w:hyperlink w:anchor="bookmark20" w:tooltip="Current Document">
        <w:r w:rsidRPr="00417235">
          <w:rPr>
            <w:rStyle w:val="Bodytext1"/>
            <w:vertAlign w:val="superscript"/>
          </w:rPr>
          <w:footnoteReference w:id="21"/>
        </w:r>
      </w:hyperlink>
      <w:r w:rsidRPr="00417235">
        <w:rPr>
          <w:rStyle w:val="Bodytext1"/>
          <w:vertAlign w:val="superscript"/>
        </w:rPr>
        <w:t xml:space="preserve"> </w:t>
      </w:r>
      <w:r>
        <w:rPr>
          <w:rStyle w:val="Bodytext1"/>
        </w:rPr>
        <w:t xml:space="preserve">Lai iesniegtu pārsūdzību, sūdzības iesniedzējs 60 dienu laikā var iesniegt pieteikumu </w:t>
      </w:r>
      <w:r>
        <w:rPr>
          <w:rStyle w:val="Bodytext1"/>
          <w:b/>
        </w:rPr>
        <w:t xml:space="preserve">savai DAI. </w:t>
      </w:r>
      <w:hyperlink w:anchor="bookmark21" w:tooltip="Current Document">
        <w:r w:rsidRPr="00417235">
          <w:rPr>
            <w:rStyle w:val="Bodytext1"/>
            <w:vertAlign w:val="superscript"/>
          </w:rPr>
          <w:footnoteReference w:id="22"/>
        </w:r>
      </w:hyperlink>
      <w:r w:rsidRPr="00417235">
        <w:rPr>
          <w:rStyle w:val="Bodytext1"/>
          <w:vertAlign w:val="superscript"/>
        </w:rPr>
        <w:t xml:space="preserve"> </w:t>
      </w:r>
      <w:r>
        <w:rPr>
          <w:rStyle w:val="Bodytext1"/>
        </w:rPr>
        <w:t>DPRC var izmeklēt sūdzības no personām ES/EEZ, tostarp iegūt attiecīgu informāciju no ASV izlūkdienestu elementiem, un var pieņemt saistošus</w:t>
      </w:r>
      <w:hyperlink w:anchor="bookmark22" w:tooltip="Current Document">
        <w:r w:rsidRPr="00417235">
          <w:rPr>
            <w:rStyle w:val="Bodytext1"/>
            <w:vertAlign w:val="superscript"/>
          </w:rPr>
          <w:footnoteReference w:id="23"/>
        </w:r>
      </w:hyperlink>
      <w:r>
        <w:rPr>
          <w:rStyle w:val="Bodytext1"/>
        </w:rPr>
        <w:t xml:space="preserve"> lēmumus stāvokļa izlabošanai.</w:t>
      </w:r>
    </w:p>
    <w:p w14:paraId="4C516A82" w14:textId="15F0FA93" w:rsidR="00397CFC" w:rsidRDefault="00000000">
      <w:pPr>
        <w:pStyle w:val="Bodytext10"/>
        <w:jc w:val="both"/>
      </w:pPr>
      <w:r>
        <w:rPr>
          <w:rStyle w:val="Bodytext1"/>
        </w:rPr>
        <w:t xml:space="preserve">Pārsūdzības procedūrā tiks izmantots līdzīgs veids un procedūra kā sākotnējā sūdzībā: DAI pārsūtīs pārsūdzību EDAK sekretariātam šifrētā formātā, kas savukārt to šifrētā formātā </w:t>
      </w:r>
      <w:r>
        <w:rPr>
          <w:rStyle w:val="Bodytext1"/>
        </w:rPr>
        <w:lastRenderedPageBreak/>
        <w:t>pārsūtīs ASV Tieslietu ministrijas Privātuma un pilsonisko brīvību birojam (“CL</w:t>
      </w:r>
      <w:r w:rsidR="00655429">
        <w:rPr>
          <w:rStyle w:val="Bodytext1"/>
        </w:rPr>
        <w:t>PO</w:t>
      </w:r>
      <w:r>
        <w:rPr>
          <w:rStyle w:val="Bodytext1"/>
        </w:rPr>
        <w:t xml:space="preserve">”), kurš sniedz atbalstu </w:t>
      </w:r>
      <w:r w:rsidR="00655429" w:rsidRPr="00655429">
        <w:rPr>
          <w:rStyle w:val="Bodytext1"/>
          <w:bCs/>
        </w:rPr>
        <w:t>Datu aizsardzības pārskatīšanas ties</w:t>
      </w:r>
      <w:r w:rsidR="00655429" w:rsidRPr="00655429">
        <w:rPr>
          <w:rStyle w:val="Bodytext1"/>
          <w:bCs/>
        </w:rPr>
        <w:t>ai (</w:t>
      </w:r>
      <w:r>
        <w:rPr>
          <w:rStyle w:val="Bodytext1"/>
        </w:rPr>
        <w:t>DPRC</w:t>
      </w:r>
      <w:r w:rsidR="00655429">
        <w:rPr>
          <w:rStyle w:val="Bodytext1"/>
        </w:rPr>
        <w:t>)</w:t>
      </w:r>
      <w:r>
        <w:rPr>
          <w:rStyle w:val="Bodytext1"/>
        </w:rPr>
        <w:t xml:space="preserve">, lai </w:t>
      </w:r>
      <w:r w:rsidR="00655429">
        <w:rPr>
          <w:rStyle w:val="Bodytext1"/>
        </w:rPr>
        <w:t>tā</w:t>
      </w:r>
      <w:r>
        <w:rPr>
          <w:rStyle w:val="Bodytext1"/>
        </w:rPr>
        <w:t xml:space="preserve"> varētu pārskatīt pārsūdzību.</w:t>
      </w:r>
    </w:p>
    <w:p w14:paraId="6A6FD1F8" w14:textId="05B454D3" w:rsidR="00397CFC" w:rsidRDefault="00000000">
      <w:pPr>
        <w:pStyle w:val="Bodytext10"/>
        <w:jc w:val="both"/>
      </w:pPr>
      <w:r>
        <w:rPr>
          <w:rStyle w:val="Bodytext1"/>
        </w:rPr>
        <w:t xml:space="preserve">Konkrētāk, </w:t>
      </w:r>
      <w:r w:rsidR="00655429" w:rsidRPr="00655429">
        <w:rPr>
          <w:rStyle w:val="Bodytext1"/>
          <w:bCs/>
        </w:rPr>
        <w:t>Datu aizsardzības pārskatīšanas ties</w:t>
      </w:r>
      <w:r w:rsidR="00655429" w:rsidRPr="00655429">
        <w:rPr>
          <w:rStyle w:val="Bodytext1"/>
          <w:bCs/>
        </w:rPr>
        <w:t>a</w:t>
      </w:r>
      <w:r>
        <w:rPr>
          <w:rStyle w:val="Bodytext1"/>
        </w:rPr>
        <w:t xml:space="preserve"> pārskatīs </w:t>
      </w:r>
      <w:r w:rsidR="00655429">
        <w:rPr>
          <w:rStyle w:val="Bodytext1"/>
        </w:rPr>
        <w:t>ASV Tieslietu ministrijas Privātuma un pilsonisko brīvību biroja</w:t>
      </w:r>
      <w:r>
        <w:rPr>
          <w:rStyle w:val="Bodytext1"/>
        </w:rPr>
        <w:t xml:space="preserve"> konstatējumus (gan to, vai ir noticis piemērojamo ASV tiesību aktu pārkāpums, gan to, vai ir veikti atbilstoši korektīvie pasākumi), pamatojoties vismaz uz CLPO izmeklēšanas protokolu, kā arī visu informāciju un iesniegumiem, ko sniedzis sūdzības iesniedzējs, īpašais advokāts vai izlūkošanas kopienas elements.</w:t>
      </w:r>
      <w:hyperlink w:anchor="bookmark23" w:tooltip="Current Document">
        <w:r w:rsidRPr="00655429">
          <w:rPr>
            <w:rStyle w:val="Bodytext1"/>
            <w:vertAlign w:val="superscript"/>
          </w:rPr>
          <w:footnoteReference w:id="24"/>
        </w:r>
      </w:hyperlink>
      <w:r>
        <w:rPr>
          <w:rStyle w:val="Bodytext1"/>
        </w:rPr>
        <w:t xml:space="preserve"> </w:t>
      </w:r>
      <w:r w:rsidR="00655429" w:rsidRPr="00655429">
        <w:rPr>
          <w:rStyle w:val="Bodytext1"/>
          <w:bCs/>
        </w:rPr>
        <w:t>Datu aizsardzības pārskatīšanas tiesa</w:t>
      </w:r>
      <w:r w:rsidR="00655429">
        <w:rPr>
          <w:rStyle w:val="Bodytext1"/>
          <w:bCs/>
        </w:rPr>
        <w:t>s</w:t>
      </w:r>
      <w:r>
        <w:rPr>
          <w:rStyle w:val="Bodytext1"/>
        </w:rPr>
        <w:t xml:space="preserve"> darba grupai ir piekļuve visai informācijai, kas vajadzīga, lai veiktu pārskatīšanu, un ko tā var iegūt ar CLPO starpniecību (piemēram, darba grupa var pieprasīt CLPO papildināt savu reģistru ar papildu informāciju vai faktu konstatējumiem, ja tas nepieciešams pārskatīšanas veikšanai).</w:t>
      </w:r>
      <w:hyperlink w:anchor="bookmark24" w:tooltip="Current Document">
        <w:r w:rsidRPr="00655429">
          <w:rPr>
            <w:rStyle w:val="Bodytext1"/>
            <w:vertAlign w:val="superscript"/>
          </w:rPr>
          <w:footnoteReference w:id="25"/>
        </w:r>
      </w:hyperlink>
      <w:r w:rsidRPr="00655429">
        <w:rPr>
          <w:rStyle w:val="Bodytext1"/>
          <w:vertAlign w:val="superscript"/>
        </w:rPr>
        <w:t xml:space="preserve"> </w:t>
      </w:r>
      <w:r>
        <w:rPr>
          <w:rStyle w:val="Bodytext1"/>
        </w:rPr>
        <w:t xml:space="preserve">Īpašajam advokātam ir arī piekļuve visai informācijai, kas nepieciešama, lai pildītu savu uzdevumu palīdzēt </w:t>
      </w:r>
      <w:r w:rsidR="00655429" w:rsidRPr="00655429">
        <w:rPr>
          <w:rStyle w:val="Bodytext1"/>
          <w:bCs/>
        </w:rPr>
        <w:t>Datu aizsardzības pārskatīšanas tiesa</w:t>
      </w:r>
      <w:r w:rsidR="00655429">
        <w:rPr>
          <w:rStyle w:val="Bodytext1"/>
          <w:bCs/>
        </w:rPr>
        <w:t>s</w:t>
      </w:r>
      <w:r>
        <w:rPr>
          <w:rStyle w:val="Bodytext1"/>
        </w:rPr>
        <w:t xml:space="preserve"> komisijai pieteikuma izskatīšanā, tostarp aizstāvot sūdzības iesniedzēja intereses šajā jautājumā un nodrošinot, ka </w:t>
      </w:r>
      <w:r w:rsidR="00655429" w:rsidRPr="00655429">
        <w:rPr>
          <w:rStyle w:val="Bodytext1"/>
          <w:bCs/>
        </w:rPr>
        <w:t>Datu aizsardzības pārskatīšanas tiesa</w:t>
      </w:r>
      <w:r w:rsidR="00655429">
        <w:rPr>
          <w:rStyle w:val="Bodytext1"/>
          <w:bCs/>
        </w:rPr>
        <w:t>s</w:t>
      </w:r>
      <w:r>
        <w:rPr>
          <w:rStyle w:val="Bodytext1"/>
        </w:rPr>
        <w:t xml:space="preserve"> komisija ir labi informēta par jautājumiem un tiesību aktiem saistībā ar šo jautājumu.</w:t>
      </w:r>
    </w:p>
    <w:p w14:paraId="5ED701A4" w14:textId="5C76D7C9" w:rsidR="00397CFC" w:rsidRDefault="00000000">
      <w:pPr>
        <w:pStyle w:val="Bodytext10"/>
        <w:spacing w:after="0"/>
        <w:jc w:val="both"/>
      </w:pPr>
      <w:r>
        <w:rPr>
          <w:rStyle w:val="Bodytext1"/>
        </w:rPr>
        <w:t xml:space="preserve">Pabeidzot pārskatīšanu, </w:t>
      </w:r>
      <w:r w:rsidR="00655429" w:rsidRPr="00655429">
        <w:rPr>
          <w:rStyle w:val="Bodytext1"/>
          <w:bCs/>
        </w:rPr>
        <w:t>Datu aizsardzības pārskatīšanas tiesa</w:t>
      </w:r>
      <w:r>
        <w:rPr>
          <w:rStyle w:val="Bodytext1"/>
        </w:rPr>
        <w:t xml:space="preserve"> var:</w:t>
      </w:r>
    </w:p>
    <w:p w14:paraId="7966D5A7" w14:textId="77777777" w:rsidR="00397CFC" w:rsidRDefault="00000000">
      <w:pPr>
        <w:pStyle w:val="Bodytext10"/>
        <w:numPr>
          <w:ilvl w:val="0"/>
          <w:numId w:val="3"/>
        </w:numPr>
        <w:tabs>
          <w:tab w:val="left" w:pos="1120"/>
        </w:tabs>
        <w:spacing w:after="0"/>
        <w:ind w:left="740"/>
        <w:jc w:val="both"/>
      </w:pPr>
      <w:r>
        <w:rPr>
          <w:rStyle w:val="Bodytext1"/>
        </w:rPr>
        <w:t>nolemt, ka nav pierādījumu, kas liecinātu, ka ir notikušas sakaru izlūkošanas darbības, kurās iesaistīti sūdzības iesniedzēja personas dati;</w:t>
      </w:r>
    </w:p>
    <w:p w14:paraId="791F6924" w14:textId="77777777" w:rsidR="00397CFC" w:rsidRDefault="00000000">
      <w:pPr>
        <w:pStyle w:val="Bodytext10"/>
        <w:numPr>
          <w:ilvl w:val="0"/>
          <w:numId w:val="3"/>
        </w:numPr>
        <w:tabs>
          <w:tab w:val="left" w:pos="1120"/>
        </w:tabs>
        <w:spacing w:after="0"/>
        <w:ind w:left="740"/>
        <w:jc w:val="both"/>
      </w:pPr>
      <w:r>
        <w:rPr>
          <w:rStyle w:val="Bodytext1"/>
        </w:rPr>
        <w:t>nolemt, ka CLPO konstatējumi ir juridiski pareizi un pamatoti ar būtiskiem pierādījumiem; vai</w:t>
      </w:r>
    </w:p>
    <w:p w14:paraId="4511857C" w14:textId="77777777" w:rsidR="00397CFC" w:rsidRDefault="00000000">
      <w:pPr>
        <w:pStyle w:val="Bodytext10"/>
        <w:numPr>
          <w:ilvl w:val="0"/>
          <w:numId w:val="3"/>
        </w:numPr>
        <w:tabs>
          <w:tab w:val="left" w:pos="1120"/>
        </w:tabs>
        <w:ind w:left="740"/>
        <w:jc w:val="both"/>
      </w:pPr>
      <w:r>
        <w:rPr>
          <w:rStyle w:val="Bodytext1"/>
        </w:rPr>
        <w:t>ja DPRC nepiekrīt CLPO konstatējumiem (neatkarīgi no tā, vai ir noticis piemērojamo ASV tiesību aktu pārkāpums vai pienācīga sanācija), izdod savus konstatējumus.</w:t>
      </w:r>
      <w:hyperlink w:anchor="bookmark25" w:tooltip="Current Document">
        <w:r>
          <w:rPr>
            <w:rStyle w:val="Bodytext1"/>
          </w:rPr>
          <w:footnoteReference w:id="26"/>
        </w:r>
      </w:hyperlink>
    </w:p>
    <w:p w14:paraId="4C3AC62E" w14:textId="61E8D120" w:rsidR="00397CFC" w:rsidRDefault="00655429">
      <w:pPr>
        <w:pStyle w:val="Bodytext10"/>
        <w:jc w:val="both"/>
      </w:pPr>
      <w:r w:rsidRPr="00655429">
        <w:rPr>
          <w:rStyle w:val="Bodytext1"/>
          <w:bCs/>
        </w:rPr>
        <w:t>Datu aizsardzības pārskatīšanas tiesa</w:t>
      </w:r>
      <w:r>
        <w:rPr>
          <w:rStyle w:val="Bodytext1"/>
          <w:bCs/>
        </w:rPr>
        <w:t>s</w:t>
      </w:r>
      <w:r w:rsidR="00000000">
        <w:rPr>
          <w:rStyle w:val="Bodytext1"/>
        </w:rPr>
        <w:t xml:space="preserve"> lēmums ir saistošs un galīgs attiecībā uz tajā iesniegto sūdzību.</w:t>
      </w:r>
      <w:hyperlink w:anchor="bookmark26" w:tooltip="Current Document">
        <w:r w:rsidR="00000000" w:rsidRPr="00655429">
          <w:rPr>
            <w:rStyle w:val="Bodytext1"/>
            <w:vertAlign w:val="superscript"/>
          </w:rPr>
          <w:footnoteReference w:id="27"/>
        </w:r>
      </w:hyperlink>
      <w:r w:rsidR="00000000" w:rsidRPr="00655429">
        <w:rPr>
          <w:rStyle w:val="Bodytext1"/>
          <w:vertAlign w:val="superscript"/>
        </w:rPr>
        <w:t xml:space="preserve"> </w:t>
      </w:r>
      <w:r w:rsidR="00000000">
        <w:rPr>
          <w:rStyle w:val="Bodytext1"/>
        </w:rPr>
        <w:t xml:space="preserve">Gadījumos, kad </w:t>
      </w:r>
      <w:r w:rsidRPr="00655429">
        <w:rPr>
          <w:rStyle w:val="Bodytext1"/>
          <w:bCs/>
        </w:rPr>
        <w:t>Datu aizsardzības pārskatīšanas tiesa</w:t>
      </w:r>
      <w:r>
        <w:rPr>
          <w:rStyle w:val="Bodytext1"/>
          <w:bCs/>
        </w:rPr>
        <w:t>s</w:t>
      </w:r>
      <w:r w:rsidR="00000000">
        <w:rPr>
          <w:rStyle w:val="Bodytext1"/>
        </w:rPr>
        <w:t xml:space="preserve"> pārskatīšanas pamatā bija sūdzības iesniedzēja pieteikums,</w:t>
      </w:r>
      <w:hyperlink w:anchor="bookmark27" w:tooltip="Current Document">
        <w:r w:rsidR="00000000" w:rsidRPr="00655429">
          <w:rPr>
            <w:rStyle w:val="Bodytext1"/>
            <w:vertAlign w:val="superscript"/>
          </w:rPr>
          <w:footnoteReference w:id="28"/>
        </w:r>
      </w:hyperlink>
      <w:r w:rsidR="00000000">
        <w:rPr>
          <w:rStyle w:val="Bodytext1"/>
        </w:rPr>
        <w:t xml:space="preserve"> sūdzības iesniedzējam tiek paziņots DPRC lēmums. Kad DPRC būs pabeigusi pārskatīšanu, DPRC iesniegs sūdzības iesniedzējam standartizētu paziņojumu, kurā norādīs, ka tā ir pabeigusi pārskatīšanu, un norādīs,</w:t>
      </w:r>
      <w:r>
        <w:rPr>
          <w:rStyle w:val="Bodytext1"/>
        </w:rPr>
        <w:t xml:space="preserve"> </w:t>
      </w:r>
      <w:r w:rsidR="00000000">
        <w:rPr>
          <w:rStyle w:val="Bodytext1"/>
          <w:i/>
        </w:rPr>
        <w:t>ka “pārskatīšanā vai nu nav konstatēti nekādi aptvertie pārkāpumi, vai arī Datu aizsardzības pārskatīšanas tiesa ir pieņēmusi lēmumu, kas prasa pienācīgu labošanu”.</w:t>
      </w:r>
      <w:r w:rsidR="00000000">
        <w:rPr>
          <w:rStyle w:val="Bodytext1"/>
        </w:rPr>
        <w:t xml:space="preserve"> </w:t>
      </w:r>
      <w:hyperlink w:anchor="bookmark28" w:tooltip="Current Document">
        <w:r w:rsidR="00000000" w:rsidRPr="00655429">
          <w:rPr>
            <w:rStyle w:val="Bodytext1"/>
            <w:vertAlign w:val="superscript"/>
          </w:rPr>
          <w:footnoteReference w:id="29"/>
        </w:r>
        <w:r w:rsidR="00000000" w:rsidRPr="00655429">
          <w:rPr>
            <w:rStyle w:val="Bodytext1"/>
            <w:vertAlign w:val="superscript"/>
          </w:rPr>
          <w:t xml:space="preserve"> </w:t>
        </w:r>
      </w:hyperlink>
    </w:p>
    <w:p w14:paraId="05D1AE47" w14:textId="0B5AB83B" w:rsidR="00397CFC" w:rsidRDefault="00655429">
      <w:pPr>
        <w:pStyle w:val="Bodytext10"/>
        <w:jc w:val="both"/>
      </w:pPr>
      <w:r w:rsidRPr="00655429">
        <w:rPr>
          <w:rStyle w:val="Bodytext1"/>
          <w:bCs/>
        </w:rPr>
        <w:t>Datu aizsardzības pārskatīšanas tiesa</w:t>
      </w:r>
      <w:r w:rsidR="00000000">
        <w:rPr>
          <w:rStyle w:val="Bodytext1"/>
        </w:rPr>
        <w:t xml:space="preserve"> šādu paziņojumu šifrētā formātā nosūtīs EDAK sekretariātam, kas savukārt to šifrētā formātā nosūtīs D</w:t>
      </w:r>
      <w:r>
        <w:rPr>
          <w:rStyle w:val="Bodytext1"/>
        </w:rPr>
        <w:t>atu aizsardzības institūcijai (DAI)</w:t>
      </w:r>
      <w:r w:rsidR="00000000">
        <w:rPr>
          <w:rStyle w:val="Bodytext1"/>
        </w:rPr>
        <w:t>. DAI paziņo sūdzības iesniedzējam par</w:t>
      </w:r>
      <w:r w:rsidRPr="00655429">
        <w:rPr>
          <w:rStyle w:val="Bodytext1"/>
          <w:bCs/>
        </w:rPr>
        <w:t xml:space="preserve"> </w:t>
      </w:r>
      <w:r w:rsidRPr="00655429">
        <w:rPr>
          <w:rStyle w:val="Bodytext1"/>
          <w:bCs/>
        </w:rPr>
        <w:t>Datu aizsardzības pārskatīšanas tiesa</w:t>
      </w:r>
      <w:r>
        <w:rPr>
          <w:rStyle w:val="Bodytext1"/>
          <w:bCs/>
        </w:rPr>
        <w:t xml:space="preserve">s </w:t>
      </w:r>
      <w:r w:rsidR="00000000">
        <w:rPr>
          <w:rStyle w:val="Bodytext1"/>
        </w:rPr>
        <w:t xml:space="preserve">paziņojumu (tostarp </w:t>
      </w:r>
      <w:r w:rsidR="00000000">
        <w:rPr>
          <w:rStyle w:val="Bodytext1"/>
        </w:rPr>
        <w:lastRenderedPageBreak/>
        <w:t>tulkojumu no angļu valodas, ja un ciktāl tas ir nepieciešams). Šis paziņojums neapstiprinās un nenoliegs, vai sūdzības iesniedzējs ir bijis novērošanas objekts, kā arī neapstiprinās konkrēto piemēroto tiesiskās aizsardzības līdzekli. Katrs DPRC lēmums tiek nosūtīts arī CLPO</w:t>
      </w:r>
      <w:hyperlink w:anchor="bookmark29" w:tooltip="Current Document">
        <w:r w:rsidR="00000000" w:rsidRPr="00655429">
          <w:rPr>
            <w:rStyle w:val="Bodytext1"/>
            <w:vertAlign w:val="superscript"/>
          </w:rPr>
          <w:footnoteReference w:id="30"/>
        </w:r>
      </w:hyperlink>
      <w:r w:rsidR="00000000">
        <w:rPr>
          <w:rStyle w:val="Bodytext1"/>
        </w:rPr>
        <w:t>.</w:t>
      </w:r>
    </w:p>
    <w:p w14:paraId="58178BEB" w14:textId="77777777" w:rsidR="00397CFC" w:rsidRDefault="00000000">
      <w:pPr>
        <w:pStyle w:val="Heading110"/>
        <w:keepNext/>
        <w:keepLines/>
        <w:spacing w:after="260"/>
        <w:jc w:val="both"/>
      </w:pPr>
      <w:bookmarkStart w:id="36" w:name="bookmark44"/>
      <w:r>
        <w:rPr>
          <w:rStyle w:val="Heading11"/>
          <w:b/>
        </w:rPr>
        <w:t xml:space="preserve">Kāda ir ASV Tirdzniecības ministrijas loma saistībā ar </w:t>
      </w:r>
      <w:proofErr w:type="spellStart"/>
      <w:r>
        <w:rPr>
          <w:rStyle w:val="Heading11"/>
          <w:b/>
        </w:rPr>
        <w:t>deklasificētu</w:t>
      </w:r>
      <w:proofErr w:type="spellEnd"/>
      <w:r>
        <w:rPr>
          <w:rStyle w:val="Heading11"/>
          <w:b/>
        </w:rPr>
        <w:t xml:space="preserve"> informāciju?</w:t>
      </w:r>
      <w:bookmarkEnd w:id="36"/>
    </w:p>
    <w:p w14:paraId="1A5FA412" w14:textId="01F23B29" w:rsidR="00397CFC" w:rsidRDefault="00000000">
      <w:pPr>
        <w:pStyle w:val="Bodytext10"/>
        <w:jc w:val="both"/>
      </w:pPr>
      <w:r>
        <w:rPr>
          <w:rStyle w:val="Bodytext1"/>
        </w:rPr>
        <w:t>ASV Tirdzniecības ministrija periodiski sazināsies ar attiecīgajiem izlūkdienestu</w:t>
      </w:r>
      <w:r w:rsidR="00655429">
        <w:rPr>
          <w:rStyle w:val="Bodytext1"/>
        </w:rPr>
        <w:t xml:space="preserve"> </w:t>
      </w:r>
      <w:r>
        <w:rPr>
          <w:rStyle w:val="Bodytext1"/>
        </w:rPr>
        <w:t xml:space="preserve">elementiem par to, vai informācija, kas attiecas uz CLPO vai </w:t>
      </w:r>
      <w:r w:rsidR="00655429" w:rsidRPr="00655429">
        <w:rPr>
          <w:rStyle w:val="Bodytext1"/>
          <w:bCs/>
        </w:rPr>
        <w:t>Datu aizsardzības pārskatīšanas tiesa</w:t>
      </w:r>
      <w:r w:rsidR="00655429">
        <w:rPr>
          <w:rStyle w:val="Bodytext1"/>
          <w:bCs/>
        </w:rPr>
        <w:t xml:space="preserve">s </w:t>
      </w:r>
      <w:r>
        <w:rPr>
          <w:rStyle w:val="Bodytext1"/>
        </w:rPr>
        <w:t xml:space="preserve">veikto sūdzības pārskatīšanu, ir </w:t>
      </w:r>
      <w:proofErr w:type="spellStart"/>
      <w:r>
        <w:rPr>
          <w:rStyle w:val="Bodytext1"/>
        </w:rPr>
        <w:t>deklasificēta</w:t>
      </w:r>
      <w:proofErr w:type="spellEnd"/>
      <w:r>
        <w:rPr>
          <w:rStyle w:val="Bodytext1"/>
        </w:rPr>
        <w:t xml:space="preserve">. Ja izlūkdienestu elementi informē </w:t>
      </w:r>
      <w:proofErr w:type="spellStart"/>
      <w:r>
        <w:rPr>
          <w:rStyle w:val="Bodytext1"/>
        </w:rPr>
        <w:t>DoC</w:t>
      </w:r>
      <w:proofErr w:type="spellEnd"/>
      <w:r>
        <w:rPr>
          <w:rStyle w:val="Bodytext1"/>
        </w:rPr>
        <w:t xml:space="preserve">, ka informācija, kas attiecas uz CLPO vai </w:t>
      </w:r>
      <w:r w:rsidR="00655429" w:rsidRPr="00655429">
        <w:rPr>
          <w:rStyle w:val="Bodytext1"/>
          <w:bCs/>
        </w:rPr>
        <w:t>Datu aizsardzības pārskatīšanas tiesa</w:t>
      </w:r>
      <w:r w:rsidR="00655429">
        <w:rPr>
          <w:rStyle w:val="Bodytext1"/>
          <w:bCs/>
        </w:rPr>
        <w:t>s</w:t>
      </w:r>
      <w:r>
        <w:rPr>
          <w:rStyle w:val="Bodytext1"/>
        </w:rPr>
        <w:t xml:space="preserve"> veikto sūdzības izskatīšanu, ir </w:t>
      </w:r>
      <w:proofErr w:type="spellStart"/>
      <w:r>
        <w:rPr>
          <w:rStyle w:val="Bodytext1"/>
        </w:rPr>
        <w:t>deklasificēta</w:t>
      </w:r>
      <w:proofErr w:type="spellEnd"/>
      <w:r>
        <w:rPr>
          <w:rStyle w:val="Bodytext1"/>
        </w:rPr>
        <w:t xml:space="preserve">, </w:t>
      </w:r>
      <w:proofErr w:type="spellStart"/>
      <w:r>
        <w:rPr>
          <w:rStyle w:val="Bodytext1"/>
        </w:rPr>
        <w:t>DoC</w:t>
      </w:r>
      <w:proofErr w:type="spellEnd"/>
      <w:r>
        <w:rPr>
          <w:rStyle w:val="Bodytext1"/>
        </w:rPr>
        <w:t xml:space="preserve"> ar EDAK sekretariāta starpniecību paziņo sūdzības iesniedzējam, kurš savukārt to </w:t>
      </w:r>
      <w:proofErr w:type="spellStart"/>
      <w:r>
        <w:rPr>
          <w:rStyle w:val="Bodytext1"/>
        </w:rPr>
        <w:t>nosūta</w:t>
      </w:r>
      <w:proofErr w:type="spellEnd"/>
      <w:r>
        <w:rPr>
          <w:rStyle w:val="Bodytext1"/>
        </w:rPr>
        <w:t xml:space="preserve"> DAI, ka informācija, kas attiecas uz viņa sūdzības izskatīšanu, ko veic attiecīgi CLPO vai </w:t>
      </w:r>
      <w:r w:rsidR="00655429" w:rsidRPr="00655429">
        <w:rPr>
          <w:rStyle w:val="Bodytext1"/>
          <w:bCs/>
        </w:rPr>
        <w:t>Datu aizsardzības pārskatīšanas tiesa</w:t>
      </w:r>
      <w:r>
        <w:rPr>
          <w:rStyle w:val="Bodytext1"/>
        </w:rPr>
        <w:t>, var būt pieejama sūdzības iesniedzējam saskaņā ar piemērojamiem ASV tiesību aktiem.</w:t>
      </w:r>
      <w:hyperlink w:anchor="bookmark30" w:tooltip="Current Document">
        <w:r w:rsidRPr="00655429">
          <w:rPr>
            <w:rStyle w:val="Bodytext1"/>
            <w:vertAlign w:val="superscript"/>
          </w:rPr>
          <w:footnoteReference w:id="31"/>
        </w:r>
      </w:hyperlink>
      <w:r w:rsidRPr="00655429">
        <w:rPr>
          <w:rStyle w:val="Bodytext1"/>
          <w:vertAlign w:val="superscript"/>
        </w:rPr>
        <w:t xml:space="preserve"> </w:t>
      </w:r>
      <w:r>
        <w:rPr>
          <w:rStyle w:val="Bodytext1"/>
        </w:rPr>
        <w:t>Viens no šādiem tiesību aktiem ir ASV Informācijas brīvības likums (“FOIA”)</w:t>
      </w:r>
      <w:hyperlink w:anchor="bookmark31" w:tooltip="Current Document">
        <w:r w:rsidRPr="00655429">
          <w:rPr>
            <w:rStyle w:val="Bodytext1"/>
            <w:vertAlign w:val="superscript"/>
          </w:rPr>
          <w:footnoteReference w:id="32"/>
        </w:r>
      </w:hyperlink>
      <w:r w:rsidRPr="00655429">
        <w:rPr>
          <w:rStyle w:val="Bodytext1"/>
          <w:vertAlign w:val="superscript"/>
        </w:rPr>
        <w:t>,</w:t>
      </w:r>
      <w:r>
        <w:rPr>
          <w:rStyle w:val="Bodytext1"/>
        </w:rPr>
        <w:t xml:space="preserve"> saskaņā ar k</w:t>
      </w:r>
      <w:r w:rsidR="00655429">
        <w:rPr>
          <w:rStyle w:val="Bodytext1"/>
        </w:rPr>
        <w:t xml:space="preserve">o </w:t>
      </w:r>
      <w:r>
        <w:rPr>
          <w:rStyle w:val="Bodytext1"/>
        </w:rPr>
        <w:t xml:space="preserve">sūdzības iesniedzējs var iesniegt </w:t>
      </w:r>
      <w:r w:rsidR="00655429">
        <w:rPr>
          <w:rStyle w:val="Bodytext1"/>
        </w:rPr>
        <w:t>ASV Informācijas brīvības likum</w:t>
      </w:r>
      <w:r w:rsidR="00655429">
        <w:rPr>
          <w:rStyle w:val="Bodytext1"/>
        </w:rPr>
        <w:t>a</w:t>
      </w:r>
      <w:r w:rsidR="00655429">
        <w:rPr>
          <w:rStyle w:val="Bodytext1"/>
        </w:rPr>
        <w:t xml:space="preserve"> </w:t>
      </w:r>
      <w:r w:rsidR="00655429">
        <w:rPr>
          <w:rStyle w:val="Bodytext1"/>
        </w:rPr>
        <w:t>(</w:t>
      </w:r>
      <w:r>
        <w:rPr>
          <w:rStyle w:val="Bodytext1"/>
        </w:rPr>
        <w:t>FOIA</w:t>
      </w:r>
      <w:r w:rsidR="00655429">
        <w:rPr>
          <w:rStyle w:val="Bodytext1"/>
        </w:rPr>
        <w:t>)</w:t>
      </w:r>
      <w:r>
        <w:rPr>
          <w:rStyle w:val="Bodytext1"/>
        </w:rPr>
        <w:t xml:space="preserve"> pieprasījumu tieši ODNI, attiecīgajam izlūkošanas kopienas elementam vai Tieslietu ministrijai (t. i., nevēršoties DAI un EDAK sekretariātā), lai </w:t>
      </w:r>
      <w:proofErr w:type="spellStart"/>
      <w:r>
        <w:rPr>
          <w:rStyle w:val="Bodytext1"/>
        </w:rPr>
        <w:t>deklasificētu</w:t>
      </w:r>
      <w:proofErr w:type="spellEnd"/>
      <w:r>
        <w:rPr>
          <w:rStyle w:val="Bodytext1"/>
        </w:rPr>
        <w:t xml:space="preserve"> informāciju par savu sūdzību. Norādījumi par to, kā iesniegt FOIA pieprasījumus, ir pieejami attiecīgajās publiskajās tīmekļa vietnēs</w:t>
      </w:r>
      <w:hyperlink w:anchor="bookmark32" w:tooltip="Current Document">
        <w:r w:rsidRPr="00655429">
          <w:rPr>
            <w:rStyle w:val="Bodytext1"/>
            <w:vertAlign w:val="superscript"/>
          </w:rPr>
          <w:footnoteReference w:id="33"/>
        </w:r>
      </w:hyperlink>
      <w:r>
        <w:rPr>
          <w:rStyle w:val="Bodytext1"/>
        </w:rPr>
        <w:t>, attiecīgajos izlūkdienestu</w:t>
      </w:r>
      <w:hyperlink w:anchor="bookmark33" w:tooltip="Current Document">
        <w:r w:rsidRPr="00655429">
          <w:rPr>
            <w:rStyle w:val="Bodytext1"/>
            <w:vertAlign w:val="superscript"/>
          </w:rPr>
          <w:footnoteReference w:id="34"/>
        </w:r>
      </w:hyperlink>
      <w:r>
        <w:rPr>
          <w:rStyle w:val="Bodytext1"/>
        </w:rPr>
        <w:t xml:space="preserve"> elementos un DPRC .</w:t>
      </w:r>
    </w:p>
    <w:p w14:paraId="6225F704" w14:textId="06572C2E" w:rsidR="00397CFC" w:rsidRDefault="00000000">
      <w:pPr>
        <w:pStyle w:val="Bodytext10"/>
        <w:pBdr>
          <w:top w:val="single" w:sz="4" w:space="0" w:color="auto"/>
          <w:left w:val="single" w:sz="4" w:space="0" w:color="auto"/>
          <w:bottom w:val="single" w:sz="4" w:space="0" w:color="auto"/>
          <w:right w:val="single" w:sz="4" w:space="0" w:color="auto"/>
        </w:pBdr>
        <w:ind w:left="140"/>
        <w:jc w:val="both"/>
      </w:pPr>
      <w:r>
        <w:rPr>
          <w:rStyle w:val="Bodytext1"/>
        </w:rPr>
        <w:t xml:space="preserve">Jāatzīmē, ka sūdzības no ES/EEZ datu subjektiem par konkrētiem ASV tiesību aktu pārkāpumiem attiecībā uz ASV sakaru izlūkošanas darbībām, kas negatīvi ietekmē viņu individuālo privātumu un pilsoniskās brīvības, un saistībā ar viņu personas datiem, kas nosūtīti no ES/EEZ uz ASV, būtu jāiesniedz tikai CLPO, nevis iepriekš minētajiem </w:t>
      </w:r>
      <w:r w:rsidR="00655429">
        <w:rPr>
          <w:rStyle w:val="Bodytext1"/>
        </w:rPr>
        <w:t>ASV Informācijas brīvības likum</w:t>
      </w:r>
      <w:r w:rsidR="00655429">
        <w:rPr>
          <w:rStyle w:val="Bodytext1"/>
        </w:rPr>
        <w:t>a (</w:t>
      </w:r>
      <w:r>
        <w:rPr>
          <w:rStyle w:val="Bodytext1"/>
        </w:rPr>
        <w:t>FOIA</w:t>
      </w:r>
      <w:r w:rsidR="00655429">
        <w:rPr>
          <w:rStyle w:val="Bodytext1"/>
        </w:rPr>
        <w:t>)</w:t>
      </w:r>
      <w:r>
        <w:rPr>
          <w:rStyle w:val="Bodytext1"/>
        </w:rPr>
        <w:t xml:space="preserve"> birojiem.</w:t>
      </w:r>
    </w:p>
    <w:sectPr w:rsidR="00397CFC">
      <w:pgSz w:w="11900" w:h="16840"/>
      <w:pgMar w:top="1403" w:right="1396" w:bottom="1235" w:left="1388"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43AA6" w14:textId="77777777" w:rsidR="00507FF2" w:rsidRDefault="00507FF2">
      <w:r>
        <w:separator/>
      </w:r>
    </w:p>
  </w:endnote>
  <w:endnote w:type="continuationSeparator" w:id="0">
    <w:p w14:paraId="5AA3AFF2" w14:textId="77777777" w:rsidR="00507FF2" w:rsidRDefault="0050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675E" w14:textId="77777777" w:rsidR="00397CFC" w:rsidRDefault="00000000">
    <w:pPr>
      <w:spacing w:line="1" w:lineRule="exact"/>
    </w:pPr>
    <w:r>
      <w:rPr>
        <w:noProof/>
      </w:rPr>
      <w:drawing>
        <wp:anchor distT="0" distB="0" distL="0" distR="0" simplePos="0" relativeHeight="62914690" behindDoc="1" locked="0" layoutInCell="1" allowOverlap="1" wp14:anchorId="7946F072" wp14:editId="3183495D">
          <wp:simplePos x="0" y="0"/>
          <wp:positionH relativeFrom="page">
            <wp:posOffset>3752215</wp:posOffset>
          </wp:positionH>
          <wp:positionV relativeFrom="page">
            <wp:posOffset>9972675</wp:posOffset>
          </wp:positionV>
          <wp:extent cx="54610" cy="97790"/>
          <wp:effectExtent l="0" t="0" r="0" b="0"/>
          <wp:wrapNone/>
          <wp:docPr id="6" name="forma"/>
          <wp:cNvGraphicFramePr/>
          <a:graphic xmlns:a="http://schemas.openxmlformats.org/drawingml/2006/main">
            <a:graphicData uri="http://schemas.microsoft.com/office/word/2010/wordprocessingShape">
              <wps:wsp>
                <wps:cNvSpPr txBox="1"/>
                <wps:spPr>
                  <a:xfrm>
                    <a:off x="0" y="0"/>
                    <a:ext cx="54610" cy="97790"/>
                  </a:xfrm>
                  <a:prstGeom prst="rect">
                    <a:avLst/>
                  </a:prstGeom>
                  <a:noFill/>
                </wps:spPr>
                <wps:txbx>
                  <w:txbxContent>
                    <w:p w14:paraId="39F1E73A" w14:textId="77777777" w:rsidR="00397CFC" w:rsidRDefault="00000000">
                      <w:pPr>
                        <w:pStyle w:val="Headerorfooter20"/>
                        <w:rPr>
                          <w:sz w:val="24"/>
                        </w:rPr>
                      </w:pPr>
                      <w:r>
                        <w:fldChar w:fldCharType="begin"/>
                      </w:r>
                      <w:r>
                        <w:instrText xml:space="preserve"> PAGE \* MERGEFORMAT </w:instrText>
                      </w:r>
                      <w:r>
                        <w:fldChar w:fldCharType="separate"/>
                      </w:r>
                      <w:r>
                        <w:rPr>
                          <w:rStyle w:val="Headerorfooter2"/>
                          <w:rFonts w:ascii="Calibri" w:eastAsia="Calibri" w:hAnsi="Calibri" w:cs="Calibri"/>
                          <w:sz w:val="24"/>
                          <w:szCs w:val="24"/>
                        </w:rPr>
                        <w:t>#</w:t>
                      </w:r>
                      <w:r>
                        <w:rPr>
                          <w:rStyle w:val="Headerorfooter2"/>
                          <w:rFonts w:ascii="Calibri" w:eastAsia="Calibri" w:hAnsi="Calibri" w:cs="Calibri"/>
                          <w:sz w:val="24"/>
                          <w:szCs w:val="24"/>
                        </w:rPr>
                        <w:fldChar w:fldCharType="end"/>
                      </w:r>
                    </w:p>
                  </w:txbxContent>
                </wps:txbx>
                <wps:bodyPr wrap="none" lIns="0" tIns="0" rIns="0" bIns="0">
                  <a:spAutoFit/>
                </wps:bodyPr>
              </wps:wsp>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4001D" w14:textId="77777777" w:rsidR="00507FF2" w:rsidRDefault="00507FF2">
      <w:r>
        <w:separator/>
      </w:r>
    </w:p>
  </w:footnote>
  <w:footnote w:type="continuationSeparator" w:id="0">
    <w:p w14:paraId="341C0558" w14:textId="77777777" w:rsidR="00507FF2" w:rsidRDefault="00507FF2">
      <w:r>
        <w:continuationSeparator/>
      </w:r>
    </w:p>
  </w:footnote>
  <w:footnote w:id="1">
    <w:p w14:paraId="14A249AF" w14:textId="52747946" w:rsidR="00397CFC" w:rsidRDefault="00000000">
      <w:pPr>
        <w:pStyle w:val="Footnote10"/>
        <w:jc w:val="both"/>
      </w:pPr>
      <w:bookmarkStart w:id="1" w:name="bookmark0"/>
      <w:r>
        <w:rPr>
          <w:rStyle w:val="Footnote1"/>
        </w:rPr>
        <w:t>Eiropas Komisijas</w:t>
      </w:r>
      <w:r>
        <w:rPr>
          <w:rStyle w:val="Footnote1"/>
        </w:rPr>
        <w:footnoteRef/>
      </w:r>
      <w:r>
        <w:rPr>
          <w:rStyle w:val="Footnote1"/>
        </w:rPr>
        <w:t xml:space="preserve"> Īstenošanas lēmums C(2023) 4745 saskaņā ar Eiropas Parlamenta un Padomes 2016. gada 27. aprīļa Regulu (ES) 2016/679 par fizisku personu aizsardzību attiecībā uz personas datu apstrādi un šādu datu brīvu apriti un ar ko atceļ</w:t>
      </w:r>
      <w:hyperlink r:id="rId1" w:history="1">
        <w:r>
          <w:rPr>
            <w:rStyle w:val="Footnote1"/>
          </w:rPr>
          <w:t xml:space="preserve"> Direktīvu 95/46/EK </w:t>
        </w:r>
      </w:hyperlink>
      <w:r>
        <w:rPr>
          <w:rStyle w:val="Footnote1"/>
        </w:rPr>
        <w:t>(“VDAR”)par personas datu pienācīgu aizsardzības līmeni saskaņā ar ES un ASV datu privātuma regulējumu (“</w:t>
      </w:r>
      <w:r>
        <w:rPr>
          <w:rStyle w:val="Footnote1"/>
          <w:b/>
        </w:rPr>
        <w:t>atbilstības lēmums”)</w:t>
      </w:r>
      <w:r w:rsidR="00417235">
        <w:rPr>
          <w:rStyle w:val="Footnote1"/>
          <w:b/>
        </w:rPr>
        <w:t xml:space="preserve"> </w:t>
      </w:r>
      <w:r>
        <w:rPr>
          <w:rStyle w:val="Footnote1"/>
        </w:rPr>
        <w:t xml:space="preserve">(2023. gada 10. jūlijs). To darot, Komisija nolēma, ka Amerikas Savienotās Valstis (“ASV”)VDAR 45. panta nolūkā nodrošina pienācīgu aizsardzības līmeni personas datiem, ko no ES </w:t>
      </w:r>
      <w:proofErr w:type="spellStart"/>
      <w:r>
        <w:rPr>
          <w:rStyle w:val="Footnote1"/>
        </w:rPr>
        <w:t>nosūta</w:t>
      </w:r>
      <w:proofErr w:type="spellEnd"/>
      <w:r>
        <w:rPr>
          <w:rStyle w:val="Footnote1"/>
        </w:rPr>
        <w:t xml:space="preserve"> organizācijām ASV, kuras ir iekļautas “Datu privātuma regulējuma sarakstā”, ko uztur un dara publiski pieejamu ASV Tirdzniecības ministrija (Lēmuma par aizsardzības līmeņa pietiekamību 1. pants), pieejams vietnē:</w:t>
      </w:r>
      <w:hyperlink r:id="rId2" w:history="1">
        <w:r>
          <w:rPr>
            <w:rStyle w:val="Footnote1"/>
          </w:rPr>
          <w:t xml:space="preserve"> </w:t>
        </w:r>
        <w:r>
          <w:rPr>
            <w:rStyle w:val="Footnote1"/>
            <w:color w:val="0563C1"/>
            <w:u w:val="single"/>
          </w:rPr>
          <w:t>https://eur-lex.europa.eu/legal-content/EN/TXT/HTML/?uri=CELEX:32023D1795.</w:t>
        </w:r>
        <w:bookmarkEnd w:id="1"/>
      </w:hyperlink>
    </w:p>
  </w:footnote>
  <w:footnote w:id="2">
    <w:p w14:paraId="30F16A55" w14:textId="77777777" w:rsidR="00397CFC" w:rsidRDefault="00000000">
      <w:pPr>
        <w:pStyle w:val="Footnote10"/>
        <w:jc w:val="both"/>
      </w:pPr>
      <w:bookmarkStart w:id="2" w:name="bookmark1"/>
      <w:r>
        <w:rPr>
          <w:rStyle w:val="Footnote1"/>
        </w:rPr>
        <w:t>2022. gada 7. oktobra</w:t>
      </w:r>
      <w:r>
        <w:rPr>
          <w:rStyle w:val="Footnote1"/>
        </w:rPr>
        <w:footnoteRef/>
      </w:r>
      <w:r>
        <w:rPr>
          <w:rStyle w:val="Footnote1"/>
        </w:rPr>
        <w:t xml:space="preserve"> </w:t>
      </w:r>
      <w:proofErr w:type="spellStart"/>
      <w:r>
        <w:rPr>
          <w:rStyle w:val="Footnote1"/>
        </w:rPr>
        <w:t>izpildrīkojums</w:t>
      </w:r>
      <w:proofErr w:type="spellEnd"/>
      <w:r>
        <w:rPr>
          <w:rStyle w:val="Footnote1"/>
        </w:rPr>
        <w:t xml:space="preserve"> par aizsardzības pasākumu uzlabošanu Amerikas Savienoto Valstu sakaru izlūkošanas darbībām.</w:t>
      </w:r>
      <w:bookmarkEnd w:id="2"/>
    </w:p>
  </w:footnote>
  <w:footnote w:id="3">
    <w:p w14:paraId="38891BB7" w14:textId="77777777" w:rsidR="00397CFC" w:rsidRDefault="00000000">
      <w:pPr>
        <w:pStyle w:val="Footnote10"/>
      </w:pPr>
      <w:bookmarkStart w:id="3" w:name="bookmark2"/>
      <w:bookmarkStart w:id="4" w:name="bookmark3"/>
      <w:r>
        <w:rPr>
          <w:rStyle w:val="Footnote1"/>
        </w:rPr>
        <w:footnoteRef/>
      </w:r>
      <w:r>
        <w:rPr>
          <w:rStyle w:val="Footnote1"/>
        </w:rPr>
        <w:t>Atsauces uz “</w:t>
      </w:r>
      <w:proofErr w:type="spellStart"/>
      <w:r>
        <w:rPr>
          <w:rStyle w:val="Footnote1"/>
        </w:rPr>
        <w:t>ES”šajā</w:t>
      </w:r>
      <w:proofErr w:type="spellEnd"/>
      <w:r>
        <w:rPr>
          <w:rStyle w:val="Footnote1"/>
        </w:rPr>
        <w:t xml:space="preserve"> dokumentā jāsaprot kā atsauces uz “EEZ”.</w:t>
      </w:r>
      <w:bookmarkEnd w:id="3"/>
      <w:bookmarkEnd w:id="4"/>
    </w:p>
  </w:footnote>
  <w:footnote w:id="4">
    <w:p w14:paraId="7EF91757" w14:textId="77777777" w:rsidR="00397CFC" w:rsidRDefault="00000000">
      <w:pPr>
        <w:pStyle w:val="Footnote10"/>
        <w:jc w:val="both"/>
      </w:pPr>
      <w:r>
        <w:rPr>
          <w:rStyle w:val="Footnote1"/>
        </w:rPr>
        <w:footnoteRef/>
      </w:r>
      <w:r>
        <w:rPr>
          <w:rStyle w:val="Footnote1"/>
        </w:rPr>
        <w:t xml:space="preserve"> </w:t>
      </w:r>
      <w:r>
        <w:rPr>
          <w:rStyle w:val="Footnote1"/>
        </w:rPr>
        <w:t>Papildu precizējumi attiecībā uz šo tiesiskās aizsardzības mehānismu ir sniegti arī</w:t>
      </w:r>
      <w:hyperlink r:id="rId3" w:history="1">
        <w:r>
          <w:rPr>
            <w:rStyle w:val="Footnote1"/>
          </w:rPr>
          <w:t xml:space="preserve"> </w:t>
        </w:r>
        <w:r>
          <w:rPr>
            <w:rStyle w:val="Footnote1"/>
            <w:color w:val="0563C1"/>
            <w:u w:val="single"/>
          </w:rPr>
          <w:t>Izpildrīkojumā</w:t>
        </w:r>
        <w:r>
          <w:t>Nr. 14086,</w:t>
        </w:r>
        <w:r>
          <w:rPr>
            <w:rStyle w:val="Footnote1"/>
          </w:rPr>
          <w:t xml:space="preserve"> ko</w:t>
        </w:r>
      </w:hyperlink>
      <w:r>
        <w:t>papildina ģenerālprokurora</w:t>
      </w:r>
      <w:hyperlink r:id="rId4" w:history="1">
        <w:r>
          <w:rPr>
            <w:rStyle w:val="Footnote1"/>
            <w:color w:val="0563C1"/>
            <w:u w:val="single"/>
          </w:rPr>
          <w:t xml:space="preserve"> </w:t>
        </w:r>
        <w:r>
          <w:t xml:space="preserve">regula par Datu aizsardzības pārskatīšanas tiesu; </w:t>
        </w:r>
      </w:hyperlink>
      <w:r>
        <w:rPr>
          <w:rStyle w:val="Footnote1"/>
        </w:rPr>
        <w:t xml:space="preserve">sk. arī Signālu izlūkošanas tiesiskās aizsardzības mehānisma īstenošanas procedūras saskaņā ar </w:t>
      </w:r>
      <w:proofErr w:type="spellStart"/>
      <w:r>
        <w:rPr>
          <w:rStyle w:val="Footnote1"/>
        </w:rPr>
        <w:t>Izpildrīkojumu</w:t>
      </w:r>
      <w:proofErr w:type="spellEnd"/>
      <w:r>
        <w:rPr>
          <w:rStyle w:val="Footnote1"/>
        </w:rPr>
        <w:t xml:space="preserve"> Nr. 14086 (“Izlūkošanas direktīva Nr. 126”), pieejamas tīmekļa vietnē: </w:t>
      </w:r>
      <w:hyperlink r:id="rId5" w:history="1">
        <w:r>
          <w:rPr>
            <w:rStyle w:val="Footnote1"/>
            <w:color w:val="0563C1"/>
            <w:u w:val="single"/>
          </w:rPr>
          <w:t>https://www.dni.gov/files/documents/ICD/ICD 126-Implementation-Procedures-for-SIGINT-Redress-Mechanism.pdf (angļu valodā)</w:t>
        </w:r>
      </w:hyperlink>
    </w:p>
  </w:footnote>
  <w:footnote w:id="5">
    <w:p w14:paraId="350158F8" w14:textId="77777777" w:rsidR="00397CFC" w:rsidRDefault="00000000">
      <w:pPr>
        <w:pStyle w:val="Footnote10"/>
      </w:pPr>
      <w:bookmarkStart w:id="5" w:name="bookmark4"/>
      <w:r>
        <w:rPr>
          <w:rStyle w:val="Footnote1"/>
        </w:rPr>
        <w:t>Līguma</w:t>
      </w:r>
      <w:r>
        <w:rPr>
          <w:rStyle w:val="Footnote1"/>
        </w:rPr>
        <w:footnoteRef/>
      </w:r>
      <w:r>
        <w:rPr>
          <w:rStyle w:val="Footnote1"/>
        </w:rPr>
        <w:t xml:space="preserve"> </w:t>
      </w:r>
      <w:proofErr w:type="spellStart"/>
      <w:r>
        <w:rPr>
          <w:rStyle w:val="Footnote1"/>
        </w:rPr>
        <w:t>standartklauzulas</w:t>
      </w:r>
      <w:proofErr w:type="spellEnd"/>
      <w:r>
        <w:rPr>
          <w:rStyle w:val="Footnote1"/>
        </w:rPr>
        <w:t xml:space="preserve"> saskaņā ar VDAR 46. panta 2. punkta c) vai d) apakšpunktu vai </w:t>
      </w:r>
      <w:proofErr w:type="spellStart"/>
      <w:r>
        <w:rPr>
          <w:rStyle w:val="Footnote1"/>
        </w:rPr>
        <w:t>ad</w:t>
      </w:r>
      <w:proofErr w:type="spellEnd"/>
      <w:r>
        <w:rPr>
          <w:rStyle w:val="Footnote1"/>
        </w:rPr>
        <w:t xml:space="preserve"> </w:t>
      </w:r>
      <w:proofErr w:type="spellStart"/>
      <w:r>
        <w:rPr>
          <w:rStyle w:val="Footnote1"/>
        </w:rPr>
        <w:t>hoc</w:t>
      </w:r>
      <w:proofErr w:type="spellEnd"/>
      <w:r>
        <w:rPr>
          <w:rStyle w:val="Footnote1"/>
        </w:rPr>
        <w:t xml:space="preserve"> līguma klauzulas saskaņā ar VDAR 46. panta 3. punkta a) apakšpunktu.</w:t>
      </w:r>
      <w:bookmarkEnd w:id="5"/>
    </w:p>
  </w:footnote>
  <w:footnote w:id="6">
    <w:p w14:paraId="0FBEFF62" w14:textId="77777777" w:rsidR="00397CFC" w:rsidRDefault="00000000">
      <w:pPr>
        <w:pStyle w:val="Footnote10"/>
      </w:pPr>
      <w:bookmarkStart w:id="6" w:name="bookmark5"/>
      <w:r>
        <w:rPr>
          <w:rStyle w:val="Footnote1"/>
        </w:rPr>
        <w:t>VDAR 46.</w:t>
      </w:r>
      <w:r>
        <w:rPr>
          <w:rStyle w:val="Footnote1"/>
        </w:rPr>
        <w:footnoteRef/>
      </w:r>
      <w:r>
        <w:rPr>
          <w:rStyle w:val="Footnote1"/>
        </w:rPr>
        <w:t xml:space="preserve"> panta 2. punkta b) apakšpunkts.</w:t>
      </w:r>
      <w:bookmarkEnd w:id="6"/>
    </w:p>
  </w:footnote>
  <w:footnote w:id="7">
    <w:p w14:paraId="2D580B8C" w14:textId="77777777" w:rsidR="00397CFC" w:rsidRDefault="00000000">
      <w:pPr>
        <w:pStyle w:val="Footnote10"/>
      </w:pPr>
      <w:bookmarkStart w:id="7" w:name="bookmark6"/>
      <w:r>
        <w:rPr>
          <w:rStyle w:val="Footnote1"/>
        </w:rPr>
        <w:t>VDAR 46.</w:t>
      </w:r>
      <w:r>
        <w:rPr>
          <w:rStyle w:val="Footnote1"/>
        </w:rPr>
        <w:footnoteRef/>
      </w:r>
      <w:r>
        <w:rPr>
          <w:rStyle w:val="Footnote1"/>
        </w:rPr>
        <w:t xml:space="preserve"> panta 2. punkta e) apakšpunkts.</w:t>
      </w:r>
      <w:bookmarkEnd w:id="7"/>
    </w:p>
  </w:footnote>
  <w:footnote w:id="8">
    <w:p w14:paraId="25BFD580" w14:textId="77777777" w:rsidR="00397CFC" w:rsidRDefault="00000000">
      <w:pPr>
        <w:pStyle w:val="Footnote10"/>
      </w:pPr>
      <w:bookmarkStart w:id="8" w:name="bookmark7"/>
      <w:r>
        <w:rPr>
          <w:rStyle w:val="Footnote1"/>
        </w:rPr>
        <w:t>VDAR 46.</w:t>
      </w:r>
      <w:r>
        <w:rPr>
          <w:rStyle w:val="Footnote1"/>
        </w:rPr>
        <w:footnoteRef/>
      </w:r>
      <w:r>
        <w:rPr>
          <w:rStyle w:val="Footnote1"/>
        </w:rPr>
        <w:t xml:space="preserve"> panta 2. punkta f) apakšpunkts.</w:t>
      </w:r>
      <w:bookmarkEnd w:id="8"/>
    </w:p>
  </w:footnote>
  <w:footnote w:id="9">
    <w:p w14:paraId="4B6E4898" w14:textId="77777777" w:rsidR="00397CFC" w:rsidRDefault="00000000">
      <w:pPr>
        <w:pStyle w:val="Footnote10"/>
      </w:pPr>
      <w:bookmarkStart w:id="9" w:name="bookmark8"/>
      <w:r>
        <w:rPr>
          <w:rStyle w:val="Footnote1"/>
        </w:rPr>
        <w:t>VDAR 49.</w:t>
      </w:r>
      <w:r>
        <w:rPr>
          <w:rStyle w:val="Footnote1"/>
        </w:rPr>
        <w:footnoteRef/>
      </w:r>
      <w:r>
        <w:rPr>
          <w:rStyle w:val="Footnote1"/>
        </w:rPr>
        <w:t xml:space="preserve"> pants.</w:t>
      </w:r>
      <w:bookmarkEnd w:id="9"/>
    </w:p>
  </w:footnote>
  <w:footnote w:id="10">
    <w:p w14:paraId="60E3D8CB" w14:textId="77777777" w:rsidR="00397CFC" w:rsidRDefault="00000000">
      <w:pPr>
        <w:pStyle w:val="Footnote10"/>
      </w:pPr>
      <w:bookmarkStart w:id="12" w:name="bookmark9"/>
      <w:r>
        <w:rPr>
          <w:rStyle w:val="Footnote1"/>
        </w:rPr>
        <w:footnoteRef/>
      </w:r>
      <w:r>
        <w:rPr>
          <w:rStyle w:val="Footnote1"/>
        </w:rPr>
        <w:t>E.O. 14086, ICD 126 4. iedaļas k) punkta v) apakšpunkts un E iedaļas 1. punkta c) apakšpunkta 8. punkts.</w:t>
      </w:r>
      <w:bookmarkEnd w:id="12"/>
    </w:p>
  </w:footnote>
  <w:footnote w:id="11">
    <w:p w14:paraId="2000BAF7" w14:textId="77777777" w:rsidR="00397CFC" w:rsidRDefault="00000000">
      <w:pPr>
        <w:pStyle w:val="Footnote10"/>
      </w:pPr>
      <w:bookmarkStart w:id="13" w:name="bookmark10"/>
      <w:r>
        <w:rPr>
          <w:rStyle w:val="Footnote1"/>
        </w:rPr>
        <w:footnoteRef/>
      </w:r>
      <w:r>
        <w:rPr>
          <w:rStyle w:val="Footnote1"/>
        </w:rPr>
        <w:t>E.O. 14086, 4. iedaļas k) punkta i)–iv) apakšpunkts.</w:t>
      </w:r>
      <w:bookmarkEnd w:id="13"/>
    </w:p>
  </w:footnote>
  <w:footnote w:id="12">
    <w:p w14:paraId="571159B0" w14:textId="77777777" w:rsidR="00397CFC" w:rsidRDefault="00000000">
      <w:pPr>
        <w:pStyle w:val="Footnote10"/>
        <w:jc w:val="both"/>
      </w:pPr>
      <w:bookmarkStart w:id="14" w:name="bookmark11"/>
      <w:r>
        <w:rPr>
          <w:rStyle w:val="Footnote1"/>
        </w:rPr>
        <w:footnoteRef/>
      </w:r>
      <w:r>
        <w:rPr>
          <w:rStyle w:val="Footnote1"/>
        </w:rPr>
        <w:t>Šādi tiesiskās aizsardzības līdzekļi var ietvert likumīgus pasākumus, kas paredzēti, lai pilnībā atlīdzinātu konstatēto pārkāpumu. Neizsmeļošā veidā tas var ietvert administratīvus pasākumus, lai novērstu procesuālus vai tehniskus pārkāpumus; dzēst jūsu personas datus, kas iegūti bez likumīgas atļaujas; dzēst neatbilstošu vaicājumu rezultātus par likumīgi savāktiem personas datiem; ierobežot piekļuvi jūsu personas datiem.</w:t>
      </w:r>
      <w:bookmarkEnd w:id="14"/>
    </w:p>
  </w:footnote>
  <w:footnote w:id="13">
    <w:p w14:paraId="4FAAAB79" w14:textId="77777777" w:rsidR="00397CFC" w:rsidRDefault="00000000">
      <w:pPr>
        <w:pStyle w:val="Footnote10"/>
      </w:pPr>
      <w:bookmarkStart w:id="15" w:name="bookmark12"/>
      <w:bookmarkStart w:id="16" w:name="bookmark13"/>
      <w:r>
        <w:rPr>
          <w:rStyle w:val="Footnote1"/>
        </w:rPr>
        <w:t>Lēmuma par aizsardzības līmeņa pietiekamību 177.</w:t>
      </w:r>
      <w:r>
        <w:rPr>
          <w:rStyle w:val="Footnote1"/>
        </w:rPr>
        <w:footnoteRef/>
      </w:r>
      <w:r>
        <w:rPr>
          <w:rStyle w:val="Footnote1"/>
        </w:rPr>
        <w:t xml:space="preserve"> apsvērums.</w:t>
      </w:r>
      <w:bookmarkEnd w:id="15"/>
      <w:bookmarkEnd w:id="16"/>
    </w:p>
  </w:footnote>
  <w:footnote w:id="14">
    <w:p w14:paraId="6181286E" w14:textId="77777777" w:rsidR="00397CFC" w:rsidRDefault="00000000">
      <w:pPr>
        <w:pStyle w:val="Footnote10"/>
        <w:jc w:val="both"/>
      </w:pPr>
      <w:r>
        <w:rPr>
          <w:rStyle w:val="Footnote1"/>
        </w:rPr>
        <w:t>Izlūkdienestu direktīvas 126 E</w:t>
      </w:r>
      <w:r>
        <w:rPr>
          <w:rStyle w:val="Footnote1"/>
        </w:rPr>
        <w:footnoteRef/>
      </w:r>
      <w:r>
        <w:rPr>
          <w:rStyle w:val="Footnote1"/>
        </w:rPr>
        <w:t xml:space="preserve"> iedaļas 1. punkta f) apakšpunktā ir noteikts: “Ja CLPO konstatē, ka sūdzība nav atbilstīga sūdzība, jo tā neatbilst šīs direktīvas E iedaļas 1. punkta c) apakšpunkta nosacījumiem vai E iedaļas 1. punkta d) apakšpunkta nosacījumiem, CLPO attiecīgajai publiskajai iestādei atbilstošā stāvoklī sniedz rakstisku paziņojumu, izmantojot </w:t>
      </w:r>
      <w:r>
        <w:rPr>
          <w:rStyle w:val="Footnote1"/>
          <w:b/>
        </w:rPr>
        <w:t xml:space="preserve">šifrētu elektronisko saziņu un angļu valodā, </w:t>
      </w:r>
      <w:r>
        <w:rPr>
          <w:rStyle w:val="Footnote1"/>
        </w:rPr>
        <w:t>par sūdzībā konstatētajiem trūkumiem.”</w:t>
      </w:r>
    </w:p>
  </w:footnote>
  <w:footnote w:id="15">
    <w:p w14:paraId="32F8FE3F" w14:textId="77777777" w:rsidR="00397CFC" w:rsidRDefault="00000000">
      <w:pPr>
        <w:pStyle w:val="Footnote10"/>
        <w:jc w:val="both"/>
      </w:pPr>
      <w:bookmarkStart w:id="17" w:name="bookmark14"/>
      <w:r>
        <w:rPr>
          <w:rStyle w:val="Footnote1"/>
        </w:rPr>
        <w:footnoteRef/>
      </w:r>
      <w:r>
        <w:rPr>
          <w:rStyle w:val="Footnote1"/>
        </w:rPr>
        <w:t>Šajā dokumentā atsauces uz pilsonisko brīvību aizsardzības speciālistu (CLPO) nozīmē Nacionālās izlūkošanas direktora pilsonisko brīvību aizsardzības speciālista biroju (ODNI CLPO).</w:t>
      </w:r>
      <w:bookmarkEnd w:id="17"/>
    </w:p>
  </w:footnote>
  <w:footnote w:id="16">
    <w:p w14:paraId="153E7B26" w14:textId="77777777" w:rsidR="00397CFC" w:rsidRDefault="00000000">
      <w:pPr>
        <w:pStyle w:val="Footnote10"/>
      </w:pPr>
      <w:bookmarkStart w:id="19" w:name="bookmark15"/>
      <w:r>
        <w:rPr>
          <w:rStyle w:val="Footnote1"/>
        </w:rPr>
        <w:footnoteRef/>
      </w:r>
      <w:r>
        <w:rPr>
          <w:rStyle w:val="Footnote1"/>
        </w:rPr>
        <w:t>E.O. 14086 3. iedaļas c) punkta i) apakšpunkta E) punkts un 3. iedaļas d) punkta i) apakšpunkta H) punkts.</w:t>
      </w:r>
      <w:bookmarkEnd w:id="19"/>
    </w:p>
  </w:footnote>
  <w:footnote w:id="17">
    <w:p w14:paraId="1907267E" w14:textId="77777777" w:rsidR="00397CFC" w:rsidRDefault="00000000">
      <w:pPr>
        <w:pStyle w:val="Footnote10"/>
      </w:pPr>
      <w:bookmarkStart w:id="20" w:name="bookmark16"/>
      <w:r>
        <w:rPr>
          <w:rStyle w:val="Footnote1"/>
        </w:rPr>
        <w:footnoteRef/>
      </w:r>
      <w:r>
        <w:rPr>
          <w:rStyle w:val="Footnote1"/>
        </w:rPr>
        <w:t>E.O. 14086, 3. iedaļas c) punkta i) apakšpunkta E daļa.</w:t>
      </w:r>
      <w:bookmarkEnd w:id="20"/>
    </w:p>
  </w:footnote>
  <w:footnote w:id="18">
    <w:p w14:paraId="425C6067" w14:textId="77777777" w:rsidR="00397CFC" w:rsidRDefault="00000000">
      <w:pPr>
        <w:pStyle w:val="Footnote10"/>
      </w:pPr>
      <w:bookmarkStart w:id="21" w:name="bookmark17"/>
      <w:r>
        <w:rPr>
          <w:rStyle w:val="Footnote1"/>
        </w:rPr>
        <w:footnoteRef/>
      </w:r>
      <w:r>
        <w:rPr>
          <w:rStyle w:val="Footnote1"/>
        </w:rPr>
        <w:t>E.O. 14086, 3. iedaļas c) punkta i) apakšpunkta E daļas 1. punkts.</w:t>
      </w:r>
      <w:bookmarkEnd w:id="21"/>
    </w:p>
  </w:footnote>
  <w:footnote w:id="19">
    <w:p w14:paraId="6CEB24D5" w14:textId="77777777" w:rsidR="00397CFC" w:rsidRDefault="00000000">
      <w:pPr>
        <w:pStyle w:val="Footnote10"/>
        <w:jc w:val="both"/>
      </w:pPr>
      <w:bookmarkStart w:id="22" w:name="bookmark18"/>
      <w:r>
        <w:rPr>
          <w:rStyle w:val="Footnote1"/>
        </w:rPr>
        <w:t>Standartizētajā</w:t>
      </w:r>
      <w:r>
        <w:rPr>
          <w:rStyle w:val="Footnote1"/>
        </w:rPr>
        <w:footnoteRef/>
      </w:r>
      <w:r>
        <w:rPr>
          <w:rStyle w:val="Footnote1"/>
        </w:rPr>
        <w:t xml:space="preserve"> atbildē tiks norādīts, ka CLPO “</w:t>
      </w:r>
      <w:proofErr w:type="spellStart"/>
      <w:r>
        <w:rPr>
          <w:rStyle w:val="Footnote1"/>
        </w:rPr>
        <w:t>pārskatīšanā</w:t>
      </w:r>
      <w:r>
        <w:rPr>
          <w:rStyle w:val="Footnote1"/>
          <w:i/>
        </w:rPr>
        <w:t>vai</w:t>
      </w:r>
      <w:proofErr w:type="spellEnd"/>
      <w:r>
        <w:rPr>
          <w:rStyle w:val="Footnote1"/>
          <w:i/>
        </w:rPr>
        <w:t xml:space="preserve"> nu netika konstatēti nekādi aptvertie pārkāpumi, vai arī Datu aizsardzības pārskatīšanas tiesa izdeva nolēmumu, kas prasa pienācīgu labošanu”</w:t>
      </w:r>
      <w:r>
        <w:rPr>
          <w:rStyle w:val="Footnote1"/>
        </w:rPr>
        <w:t>(E.O. 14086, 3. iedaļas c) punkta i) apakšpunkta E daļa).</w:t>
      </w:r>
      <w:bookmarkEnd w:id="22"/>
    </w:p>
  </w:footnote>
  <w:footnote w:id="20">
    <w:p w14:paraId="13F10248" w14:textId="77777777" w:rsidR="00397CFC" w:rsidRDefault="00000000">
      <w:pPr>
        <w:pStyle w:val="Footnote10"/>
      </w:pPr>
      <w:bookmarkStart w:id="23" w:name="bookmark19"/>
      <w:r>
        <w:rPr>
          <w:rStyle w:val="Footnote1"/>
        </w:rPr>
        <w:footnoteRef/>
      </w:r>
      <w:r>
        <w:rPr>
          <w:rStyle w:val="Footnote1"/>
        </w:rPr>
        <w:t>E.O. 14086 3. iedaļas c) punkta H) apakšpunkta ii) punkts.</w:t>
      </w:r>
      <w:bookmarkEnd w:id="23"/>
    </w:p>
  </w:footnote>
  <w:footnote w:id="21">
    <w:p w14:paraId="1FF14439" w14:textId="77777777" w:rsidR="00397CFC" w:rsidRDefault="00000000">
      <w:pPr>
        <w:pStyle w:val="Footnote10"/>
        <w:jc w:val="both"/>
      </w:pPr>
      <w:bookmarkStart w:id="25" w:name="bookmark20"/>
      <w:r>
        <w:rPr>
          <w:rStyle w:val="Footnote1"/>
        </w:rPr>
        <w:footnoteRef/>
      </w:r>
      <w:r>
        <w:rPr>
          <w:rStyle w:val="Footnote1"/>
        </w:rPr>
        <w:t>Datumi, kas tiks ņemti vērā, lai novērtētu, vai pārsūdzība ir iesniegta 60 dienu laikā, būs diena, kad DAI paziņos sūdzības iesniedzējam par CLPO lēmumu, un diena, kad sūdzības iesniedzējs iesniegs pārsūdzību DAI.</w:t>
      </w:r>
      <w:bookmarkEnd w:id="25"/>
    </w:p>
  </w:footnote>
  <w:footnote w:id="22">
    <w:p w14:paraId="05D2FDCD" w14:textId="77777777" w:rsidR="00397CFC" w:rsidRDefault="00000000">
      <w:pPr>
        <w:pStyle w:val="Footnote10"/>
      </w:pPr>
      <w:bookmarkStart w:id="26" w:name="bookmark21"/>
      <w:r>
        <w:rPr>
          <w:rStyle w:val="Footnote1"/>
        </w:rPr>
        <w:t>177.</w:t>
      </w:r>
      <w:r>
        <w:rPr>
          <w:rStyle w:val="Footnote1"/>
        </w:rPr>
        <w:footnoteRef/>
      </w:r>
      <w:r>
        <w:rPr>
          <w:rStyle w:val="Footnote1"/>
        </w:rPr>
        <w:t xml:space="preserve"> apsvērums Lēmums par aizsardzības līmeņa pietiekamību.</w:t>
      </w:r>
      <w:bookmarkEnd w:id="26"/>
    </w:p>
  </w:footnote>
  <w:footnote w:id="23">
    <w:p w14:paraId="0A5F52B4" w14:textId="77777777" w:rsidR="00397CFC" w:rsidRDefault="00000000">
      <w:pPr>
        <w:pStyle w:val="Footnote10"/>
      </w:pPr>
      <w:bookmarkStart w:id="27" w:name="bookmark22"/>
      <w:r>
        <w:rPr>
          <w:rStyle w:val="Footnote1"/>
        </w:rPr>
        <w:footnoteRef/>
      </w:r>
      <w:r>
        <w:rPr>
          <w:rStyle w:val="Footnote1"/>
        </w:rPr>
        <w:t>E.O. 14086 3. iedaļas c) punkta i) apakšpunkta E) punkts un 3. iedaļas d) punkta i) apakšpunkta H) punkts.</w:t>
      </w:r>
      <w:bookmarkEnd w:id="27"/>
    </w:p>
  </w:footnote>
  <w:footnote w:id="24">
    <w:p w14:paraId="05F483D5" w14:textId="77777777" w:rsidR="00397CFC" w:rsidRDefault="00000000">
      <w:pPr>
        <w:pStyle w:val="Footnote10"/>
      </w:pPr>
      <w:bookmarkStart w:id="28" w:name="bookmark23"/>
      <w:r>
        <w:rPr>
          <w:rStyle w:val="Footnote1"/>
        </w:rPr>
        <w:t>Lēmuma par aizsardzības līmeņa pietiekamību 189.</w:t>
      </w:r>
      <w:r>
        <w:rPr>
          <w:rStyle w:val="Footnote1"/>
        </w:rPr>
        <w:footnoteRef/>
      </w:r>
      <w:r>
        <w:rPr>
          <w:rStyle w:val="Footnote1"/>
        </w:rPr>
        <w:t xml:space="preserve"> apsvērums un IR Nr. 14086 3. iedaļas d) punkta i) apakšpunkta D daļa.</w:t>
      </w:r>
      <w:bookmarkEnd w:id="28"/>
    </w:p>
  </w:footnote>
  <w:footnote w:id="25">
    <w:p w14:paraId="10723DF3" w14:textId="77777777" w:rsidR="00397CFC" w:rsidRDefault="00000000">
      <w:pPr>
        <w:pStyle w:val="Footnote10"/>
      </w:pPr>
      <w:bookmarkStart w:id="29" w:name="bookmark24"/>
      <w:bookmarkStart w:id="30" w:name="bookmark25"/>
      <w:r>
        <w:rPr>
          <w:rStyle w:val="Footnote1"/>
        </w:rPr>
        <w:t>Lēmuma par aizsardzības līmeņa pietiekamību 189.</w:t>
      </w:r>
      <w:r>
        <w:rPr>
          <w:rStyle w:val="Footnote1"/>
        </w:rPr>
        <w:footnoteRef/>
      </w:r>
      <w:r>
        <w:rPr>
          <w:rStyle w:val="Footnote1"/>
        </w:rPr>
        <w:t xml:space="preserve"> apsvērums; IR Nr. 14086 3. iedaļas d) punkta iii) apakšpunkts un ĢP noteikumu 201.9. iedaļas b) punkts.</w:t>
      </w:r>
      <w:bookmarkEnd w:id="29"/>
      <w:bookmarkEnd w:id="30"/>
    </w:p>
  </w:footnote>
  <w:footnote w:id="26">
    <w:p w14:paraId="09BF5644" w14:textId="77777777" w:rsidR="00397CFC" w:rsidRDefault="00000000">
      <w:pPr>
        <w:pStyle w:val="Footnote10"/>
        <w:jc w:val="both"/>
      </w:pPr>
      <w:r>
        <w:rPr>
          <w:rStyle w:val="Footnote1"/>
        </w:rPr>
        <w:t>Lēmuma par aizsardzības līmeņa pietiekamību 190.</w:t>
      </w:r>
      <w:r>
        <w:rPr>
          <w:rStyle w:val="Footnote1"/>
        </w:rPr>
        <w:footnoteRef/>
      </w:r>
      <w:r>
        <w:rPr>
          <w:rStyle w:val="Footnote1"/>
        </w:rPr>
        <w:t xml:space="preserve"> apsvērums un IR Nr. 14086 3. iedaļas d) punkta i) apakšpunkta E daļa un ĢP noteikumu 201.9. iedaļas c)–e) punkts. Saskaņā ar IR Nr. 14086 4. iedaļas a) punktā sniegto jēdziena “pienācīga sanācija” definīciju DPRC, lemjot par korektīvu pasākumu, lai pilnībā novērstu pārkāpumu, ir jāņem vērā “veidi, kā parasti tiek risināts konstatētā veida pārkāpums”, t. i., DPRC cita starpā apsvērs, kā līdzīgas atbilstības problēmas iepriekš tika novērstas, lai nodrošinātu, ka tiesiskās aizsardzības līdzeklis ir efektīvs un piemērots.</w:t>
      </w:r>
    </w:p>
  </w:footnote>
  <w:footnote w:id="27">
    <w:p w14:paraId="0C5D3105" w14:textId="77777777" w:rsidR="00397CFC" w:rsidRDefault="00000000">
      <w:pPr>
        <w:pStyle w:val="Footnote10"/>
      </w:pPr>
      <w:bookmarkStart w:id="31" w:name="bookmark26"/>
      <w:bookmarkStart w:id="32" w:name="bookmark27"/>
      <w:r>
        <w:rPr>
          <w:rStyle w:val="Footnote1"/>
        </w:rPr>
        <w:t>Lēmuma par aizsardzības līmeņa pietiekamību 191.</w:t>
      </w:r>
      <w:r>
        <w:rPr>
          <w:rStyle w:val="Footnote1"/>
        </w:rPr>
        <w:footnoteRef/>
      </w:r>
      <w:r>
        <w:rPr>
          <w:rStyle w:val="Footnote1"/>
        </w:rPr>
        <w:t xml:space="preserve"> apsvērums un IR Nr. 14086 3. iedaļas d) punkta ii) apakšpunkts un ĢP noteikumu 201.9. iedaļas g) punkts.</w:t>
      </w:r>
      <w:bookmarkEnd w:id="31"/>
      <w:bookmarkEnd w:id="32"/>
    </w:p>
  </w:footnote>
  <w:footnote w:id="28">
    <w:p w14:paraId="6E2E36C6" w14:textId="77777777" w:rsidR="00397CFC" w:rsidRDefault="00000000">
      <w:pPr>
        <w:pStyle w:val="Footnote10"/>
        <w:jc w:val="both"/>
      </w:pPr>
      <w:r>
        <w:rPr>
          <w:rStyle w:val="Footnote1"/>
        </w:rPr>
        <w:footnoteRef/>
      </w:r>
      <w:r>
        <w:rPr>
          <w:rStyle w:val="Footnote1"/>
        </w:rPr>
        <w:t>Saskaņā ar IR Nr. 14086 3. iedaļas d) punkta i) apakšpunkta B punktu izlūkdienestu elementi var arī iesniegt pieteikumus pārskatīt CLPO noteikto.</w:t>
      </w:r>
    </w:p>
  </w:footnote>
  <w:footnote w:id="29">
    <w:p w14:paraId="7DF83F57" w14:textId="77777777" w:rsidR="00397CFC" w:rsidRDefault="00000000">
      <w:pPr>
        <w:pStyle w:val="Footnote10"/>
        <w:jc w:val="both"/>
      </w:pPr>
      <w:bookmarkStart w:id="33" w:name="bookmark28"/>
      <w:r>
        <w:rPr>
          <w:rStyle w:val="Footnote1"/>
        </w:rPr>
        <w:t>Lēmums par aizsardzības līmeņa pietiekamību,</w:t>
      </w:r>
      <w:r>
        <w:rPr>
          <w:rStyle w:val="Footnote1"/>
        </w:rPr>
        <w:footnoteRef/>
      </w:r>
      <w:r>
        <w:rPr>
          <w:rStyle w:val="Footnote1"/>
        </w:rPr>
        <w:t xml:space="preserve"> IR Nr. 14086 3. iedaļas d) punkta i) apakšpunkta H daļa un ĢP noteikumu 201.9. iedaļas h) punkts. Attiecībā uz paziņojuma raksturu skatīt ĢP noteikumu 201.9. iedaļas h) punkta 3. apakšpunktu.</w:t>
      </w:r>
      <w:bookmarkEnd w:id="33"/>
    </w:p>
  </w:footnote>
  <w:footnote w:id="30">
    <w:p w14:paraId="37A2DEB9" w14:textId="77777777" w:rsidR="00397CFC" w:rsidRDefault="00000000">
      <w:pPr>
        <w:pStyle w:val="Footnote10"/>
      </w:pPr>
      <w:bookmarkStart w:id="34" w:name="bookmark29"/>
      <w:bookmarkStart w:id="35" w:name="bookmark30"/>
      <w:r>
        <w:rPr>
          <w:rStyle w:val="Footnote1"/>
        </w:rPr>
        <w:t>Lēmuma par aizsardzības līmeņa pietiekamību 192.</w:t>
      </w:r>
      <w:r>
        <w:rPr>
          <w:rStyle w:val="Footnote1"/>
        </w:rPr>
        <w:footnoteRef/>
      </w:r>
      <w:r>
        <w:rPr>
          <w:rStyle w:val="Footnote1"/>
        </w:rPr>
        <w:t xml:space="preserve"> apsvērums un ĢP noteikumu 201.9. iedaļas h) punkts.</w:t>
      </w:r>
      <w:bookmarkEnd w:id="34"/>
      <w:bookmarkEnd w:id="35"/>
    </w:p>
  </w:footnote>
  <w:footnote w:id="31">
    <w:p w14:paraId="7E472B41" w14:textId="77777777" w:rsidR="00397CFC" w:rsidRDefault="00000000">
      <w:pPr>
        <w:pStyle w:val="Footnote10"/>
      </w:pPr>
      <w:r>
        <w:rPr>
          <w:rStyle w:val="Footnote1"/>
        </w:rPr>
        <w:footnoteRef/>
      </w:r>
      <w:r>
        <w:rPr>
          <w:rStyle w:val="Footnote1"/>
        </w:rPr>
        <w:t>E.O. 14086 3. iedaļas d) punkta v) apakšpunkta C daļa.</w:t>
      </w:r>
    </w:p>
  </w:footnote>
  <w:footnote w:id="32">
    <w:p w14:paraId="0B536AD5" w14:textId="77777777" w:rsidR="00397CFC" w:rsidRDefault="00000000">
      <w:pPr>
        <w:pStyle w:val="Footnote10"/>
      </w:pPr>
      <w:bookmarkStart w:id="37" w:name="bookmark31"/>
      <w:r>
        <w:rPr>
          <w:rStyle w:val="Footnote1"/>
        </w:rPr>
        <w:footnoteRef/>
      </w:r>
      <w:r>
        <w:rPr>
          <w:rStyle w:val="Footnote1"/>
        </w:rPr>
        <w:t xml:space="preserve"> </w:t>
      </w:r>
      <w:r>
        <w:rPr>
          <w:rStyle w:val="Footnote1"/>
        </w:rPr>
        <w:t>Plašāka informācija par FOIA ir pieejama</w:t>
      </w:r>
      <w:hyperlink r:id="rId6" w:history="1">
        <w:r>
          <w:rPr>
            <w:rStyle w:val="Footnote1"/>
          </w:rPr>
          <w:t xml:space="preserve"> </w:t>
        </w:r>
        <w:r>
          <w:rPr>
            <w:rStyle w:val="Footnote1"/>
            <w:color w:val="0563C1"/>
            <w:u w:val="single"/>
          </w:rPr>
          <w:t>tīmekļa vietnē https://www.dni.gov/index.php/foia</w:t>
        </w:r>
        <w:r>
          <w:rPr>
            <w:rStyle w:val="Footnote1"/>
          </w:rPr>
          <w:t>.</w:t>
        </w:r>
        <w:bookmarkEnd w:id="37"/>
      </w:hyperlink>
    </w:p>
  </w:footnote>
  <w:footnote w:id="33">
    <w:p w14:paraId="1A361791" w14:textId="77777777" w:rsidR="00397CFC" w:rsidRDefault="00000000">
      <w:pPr>
        <w:pStyle w:val="Footnote10"/>
        <w:spacing w:line="230" w:lineRule="auto"/>
      </w:pPr>
      <w:bookmarkStart w:id="38" w:name="bookmark32"/>
      <w:r>
        <w:rPr>
          <w:rStyle w:val="Footnote1"/>
        </w:rPr>
        <w:footnoteRef/>
      </w:r>
      <w:hyperlink r:id="rId7" w:history="1">
        <w:r>
          <w:rPr>
            <w:rStyle w:val="Footnote1"/>
            <w:color w:val="0563C1"/>
            <w:u w:val="single"/>
          </w:rPr>
          <w:t>https://www.dni.gov/index.php/make-a-records-request</w:t>
        </w:r>
        <w:r>
          <w:rPr>
            <w:rStyle w:val="Footnote1"/>
          </w:rPr>
          <w:t>.</w:t>
        </w:r>
        <w:bookmarkEnd w:id="38"/>
      </w:hyperlink>
    </w:p>
  </w:footnote>
  <w:footnote w:id="34">
    <w:p w14:paraId="2832D345" w14:textId="77777777" w:rsidR="00397CFC" w:rsidRDefault="00000000">
      <w:pPr>
        <w:pStyle w:val="Footnote10"/>
      </w:pPr>
      <w:bookmarkStart w:id="39" w:name="bookmark33"/>
      <w:r>
        <w:rPr>
          <w:rStyle w:val="Footnote1"/>
        </w:rPr>
        <w:footnoteRef/>
      </w:r>
      <w:hyperlink r:id="rId8" w:history="1">
        <w:r>
          <w:rPr>
            <w:rStyle w:val="Footnote1"/>
            <w:color w:val="0563C1"/>
            <w:u w:val="single"/>
          </w:rPr>
          <w:t>https://www.justice.gov/opcl/opcl-freedom-information-act</w:t>
        </w:r>
        <w:r>
          <w:rPr>
            <w:rStyle w:val="Footnote1"/>
          </w:rPr>
          <w:t>.</w:t>
        </w:r>
        <w:bookmarkEnd w:id="39"/>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1B6A"/>
    <w:multiLevelType w:val="multilevel"/>
    <w:tmpl w:val="F0546F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691D57"/>
    <w:multiLevelType w:val="multilevel"/>
    <w:tmpl w:val="8FAE81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E97385"/>
    <w:multiLevelType w:val="multilevel"/>
    <w:tmpl w:val="0786E77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9794876">
    <w:abstractNumId w:val="2"/>
  </w:num>
  <w:num w:numId="2" w16cid:durableId="2038848885">
    <w:abstractNumId w:val="0"/>
  </w:num>
  <w:num w:numId="3" w16cid:durableId="2085910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FC"/>
    <w:rsid w:val="00122F4C"/>
    <w:rsid w:val="00397CFC"/>
    <w:rsid w:val="003F7D45"/>
    <w:rsid w:val="00417235"/>
    <w:rsid w:val="00507FF2"/>
    <w:rsid w:val="00545B88"/>
    <w:rsid w:val="00655429"/>
    <w:rsid w:val="009821C3"/>
    <w:rsid w:val="00C419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FCD2"/>
  <w15:docId w15:val="{0DE9B7EC-B8D7-4975-B16C-E452EC1C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rFonts w:ascii="Calibri" w:eastAsia="Calibri" w:hAnsi="Calibri" w:cs="Calibri"/>
      <w:b w:val="0"/>
      <w:i w:val="0"/>
      <w:smallCaps w:val="0"/>
      <w:strike w:val="0"/>
      <w:sz w:val="18"/>
      <w:u w:val="none"/>
    </w:rPr>
  </w:style>
  <w:style w:type="character" w:customStyle="1" w:styleId="Picturecaption1">
    <w:name w:val="Picture caption|1_"/>
    <w:basedOn w:val="DefaultParagraphFont"/>
    <w:link w:val="Picturecaption10"/>
    <w:rPr>
      <w:rFonts w:ascii="Arial" w:eastAsia="Arial" w:hAnsi="Arial" w:cs="Arial"/>
      <w:b w:val="0"/>
      <w:i w:val="0"/>
      <w:smallCaps w:val="0"/>
      <w:strike w:val="0"/>
      <w:color w:val="B3B3B3"/>
      <w:sz w:val="13"/>
      <w:u w:val="none"/>
    </w:rPr>
  </w:style>
  <w:style w:type="character" w:customStyle="1" w:styleId="Headerorfooter2">
    <w:name w:val="Header or footer|2_"/>
    <w:basedOn w:val="DefaultParagraphFont"/>
    <w:link w:val="Headerorfooter20"/>
    <w:rPr>
      <w:b w:val="0"/>
      <w:i w:val="0"/>
      <w:smallCaps w:val="0"/>
      <w:strike w:val="0"/>
      <w:sz w:val="20"/>
      <w:u w:val="none"/>
    </w:rPr>
  </w:style>
  <w:style w:type="character" w:customStyle="1" w:styleId="Bodytext2">
    <w:name w:val="Body text|2_"/>
    <w:basedOn w:val="DefaultParagraphFont"/>
    <w:link w:val="Bodytext20"/>
    <w:rPr>
      <w:rFonts w:ascii="Calibri" w:eastAsia="Calibri" w:hAnsi="Calibri" w:cs="Calibri"/>
      <w:b/>
      <w:i w:val="0"/>
      <w:smallCaps w:val="0"/>
      <w:strike w:val="0"/>
      <w:color w:val="004494"/>
      <w:sz w:val="36"/>
      <w:u w:val="none"/>
    </w:rPr>
  </w:style>
  <w:style w:type="character" w:customStyle="1" w:styleId="Heading11">
    <w:name w:val="Heading #1|1_"/>
    <w:basedOn w:val="DefaultParagraphFont"/>
    <w:link w:val="Heading110"/>
    <w:rPr>
      <w:rFonts w:ascii="Calibri" w:eastAsia="Calibri" w:hAnsi="Calibri" w:cs="Calibri"/>
      <w:b/>
      <w:i w:val="0"/>
      <w:smallCaps w:val="0"/>
      <w:strike w:val="0"/>
      <w:u w:val="single"/>
    </w:rPr>
  </w:style>
  <w:style w:type="character" w:customStyle="1" w:styleId="Bodytext1">
    <w:name w:val="Body text|1_"/>
    <w:basedOn w:val="DefaultParagraphFont"/>
    <w:link w:val="Bodytext10"/>
    <w:rPr>
      <w:rFonts w:ascii="Calibri" w:eastAsia="Calibri" w:hAnsi="Calibri" w:cs="Calibri"/>
      <w:b w:val="0"/>
      <w:i w:val="0"/>
      <w:smallCaps w:val="0"/>
      <w:strike w:val="0"/>
      <w:u w:val="none"/>
    </w:rPr>
  </w:style>
  <w:style w:type="paragraph" w:customStyle="1" w:styleId="Footnote10">
    <w:name w:val="Footnote|1"/>
    <w:basedOn w:val="Normal"/>
    <w:link w:val="Footnote1"/>
    <w:rPr>
      <w:rFonts w:ascii="Calibri" w:eastAsia="Calibri" w:hAnsi="Calibri" w:cs="Calibri"/>
      <w:sz w:val="18"/>
    </w:rPr>
  </w:style>
  <w:style w:type="paragraph" w:customStyle="1" w:styleId="Picturecaption10">
    <w:name w:val="Picture caption|1"/>
    <w:basedOn w:val="Normal"/>
    <w:link w:val="Picturecaption1"/>
    <w:pPr>
      <w:jc w:val="center"/>
    </w:pPr>
    <w:rPr>
      <w:rFonts w:ascii="Arial" w:eastAsia="Arial" w:hAnsi="Arial" w:cs="Arial"/>
      <w:color w:val="B3B3B3"/>
      <w:sz w:val="13"/>
    </w:rPr>
  </w:style>
  <w:style w:type="paragraph" w:customStyle="1" w:styleId="Headerorfooter20">
    <w:name w:val="Header or footer|2"/>
    <w:basedOn w:val="Normal"/>
    <w:link w:val="Headerorfooter2"/>
    <w:rPr>
      <w:sz w:val="20"/>
    </w:rPr>
  </w:style>
  <w:style w:type="paragraph" w:customStyle="1" w:styleId="Bodytext20">
    <w:name w:val="Body text|2"/>
    <w:basedOn w:val="Normal"/>
    <w:link w:val="Bodytext2"/>
    <w:pPr>
      <w:spacing w:line="271" w:lineRule="auto"/>
    </w:pPr>
    <w:rPr>
      <w:rFonts w:ascii="Calibri" w:eastAsia="Calibri" w:hAnsi="Calibri" w:cs="Calibri"/>
      <w:b/>
      <w:color w:val="004494"/>
      <w:sz w:val="36"/>
    </w:rPr>
  </w:style>
  <w:style w:type="paragraph" w:customStyle="1" w:styleId="Heading110">
    <w:name w:val="Heading #1|1"/>
    <w:basedOn w:val="Normal"/>
    <w:link w:val="Heading11"/>
    <w:pPr>
      <w:outlineLvl w:val="0"/>
    </w:pPr>
    <w:rPr>
      <w:rFonts w:ascii="Calibri" w:eastAsia="Calibri" w:hAnsi="Calibri" w:cs="Calibri"/>
      <w:b/>
      <w:u w:val="single"/>
    </w:rPr>
  </w:style>
  <w:style w:type="paragraph" w:customStyle="1" w:styleId="Bodytext10">
    <w:name w:val="Body text|1"/>
    <w:basedOn w:val="Normal"/>
    <w:link w:val="Bodytext1"/>
    <w:pPr>
      <w:spacing w:after="2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dpb.europa.eu/our-work-tools/our-documents/other-guidance/template-complaint-form-us-office-director-national_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dpb.europa.eu/about-edpb/about-edpb/members_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pb.europa.eu/our-work-tools/our-documents/other-guidance/eu-us-data-privacy-framework-template-complaint-form_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dpb.europa.eu/our-work-tools/our-documents/other-guidance/eu-us-data-privacy-framework-template-complaint-form_en" TargetMode="External"/><Relationship Id="rId4" Type="http://schemas.openxmlformats.org/officeDocument/2006/relationships/webSettings" Target="webSettings.xml"/><Relationship Id="rId9" Type="http://schemas.openxmlformats.org/officeDocument/2006/relationships/hyperlink" Target="https://commission.europa.eu/document/fa09cbad-dd7d-4684-ae60-be03fcb0fddf_en" TargetMode="External"/><Relationship Id="rId14" Type="http://schemas.openxmlformats.org/officeDocument/2006/relationships/hyperlink" Target="https://www.edpb.europa.eu/our-work-tools/our-documents/other-guidance/template-complaint-form-us-office-director-national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justice.gov/opcl/opcl-freedom-information-act" TargetMode="External"/><Relationship Id="rId3" Type="http://schemas.openxmlformats.org/officeDocument/2006/relationships/hyperlink" Target="https://www.presidency.ucsb.edu/documents/executive-order-14086-enhancing-safeguards-for-united-states-signals-intelligence" TargetMode="External"/><Relationship Id="rId7" Type="http://schemas.openxmlformats.org/officeDocument/2006/relationships/hyperlink" Target="https://www.dni.gov/index.php/make-a-records-request" TargetMode="External"/><Relationship Id="rId2" Type="http://schemas.openxmlformats.org/officeDocument/2006/relationships/hyperlink" Target="https://eur-lex.europa.eu/legal-content/EN/TXT/HTML/?uri=CELEX:32023D1795" TargetMode="External"/><Relationship Id="rId1" Type="http://schemas.openxmlformats.org/officeDocument/2006/relationships/hyperlink" Target="http://data.europa.eu/eli/dir/1995/46/oj/eng" TargetMode="External"/><Relationship Id="rId6" Type="http://schemas.openxmlformats.org/officeDocument/2006/relationships/hyperlink" Target="https://www.dni.gov/index.php/foia" TargetMode="External"/><Relationship Id="rId5" Type="http://schemas.openxmlformats.org/officeDocument/2006/relationships/hyperlink" Target="https://www.dni.gov/files/documents/ICD/ICD_126-Implementation-Procedures-for-SIGINT-Redress-Mechanism.pdf" TargetMode="External"/><Relationship Id="rId4" Type="http://schemas.openxmlformats.org/officeDocument/2006/relationships/hyperlink" Target="https://www.justice.gov/d9/pages/attachments/2022/10/07/dprc_final_rule_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9015</Words>
  <Characters>5140</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 Birkhāne</dc:creator>
  <cp:lastModifiedBy>Anta Birkhane</cp:lastModifiedBy>
  <cp:revision>2</cp:revision>
  <dcterms:created xsi:type="dcterms:W3CDTF">2024-07-22T13:29:00Z</dcterms:created>
  <dcterms:modified xsi:type="dcterms:W3CDTF">2024-07-22T13:29:00Z</dcterms:modified>
</cp:coreProperties>
</file>